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36"/>
          <w:szCs w:val="36"/>
        </w:rPr>
      </w:pPr>
      <w:r>
        <w:rPr>
          <w:rFonts w:hint="eastAsia" w:eastAsia="方正小标宋_GBK"/>
          <w:sz w:val="36"/>
          <w:szCs w:val="36"/>
        </w:rPr>
        <w:t>2023</w:t>
      </w:r>
      <w:r>
        <w:rPr>
          <w:rFonts w:eastAsia="方正小标宋_GBK"/>
          <w:sz w:val="36"/>
          <w:szCs w:val="36"/>
        </w:rPr>
        <w:t>年度</w:t>
      </w:r>
      <w:r>
        <w:rPr>
          <w:rFonts w:hint="eastAsia" w:eastAsia="方正小标宋_GBK"/>
          <w:sz w:val="36"/>
          <w:szCs w:val="36"/>
        </w:rPr>
        <w:t>江永县</w:t>
      </w:r>
      <w:r>
        <w:rPr>
          <w:rFonts w:hint="eastAsia" w:eastAsia="方正小标宋_GBK"/>
          <w:sz w:val="36"/>
          <w:szCs w:val="36"/>
          <w:lang w:val="en-US" w:eastAsia="zh-CN"/>
        </w:rPr>
        <w:t>兰溪瑶族乡学校</w:t>
      </w:r>
      <w:r>
        <w:rPr>
          <w:rFonts w:eastAsia="方正小标宋_GBK"/>
          <w:sz w:val="36"/>
          <w:szCs w:val="36"/>
        </w:rPr>
        <w:t>整体支出</w:t>
      </w:r>
    </w:p>
    <w:p>
      <w:pPr>
        <w:spacing w:line="640" w:lineRule="exact"/>
        <w:jc w:val="center"/>
        <w:rPr>
          <w:rFonts w:ascii="Times New Roman" w:hAnsi="Times New Roman" w:eastAsia="方正小标宋_GBK"/>
          <w:sz w:val="36"/>
          <w:szCs w:val="36"/>
        </w:rPr>
      </w:pPr>
      <w:r>
        <w:rPr>
          <w:rFonts w:ascii="Times New Roman" w:hAnsi="Times New Roman" w:eastAsia="方正小标宋_GBK"/>
          <w:sz w:val="36"/>
          <w:szCs w:val="36"/>
        </w:rPr>
        <w:t>绩效运行监控报告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hint="default" w:eastAsia="黑体"/>
          <w:sz w:val="36"/>
          <w:szCs w:val="36"/>
          <w:lang w:val="en-US" w:eastAsia="zh-CN"/>
        </w:rPr>
      </w:pPr>
      <w:r>
        <w:rPr>
          <w:rFonts w:hint="eastAsia" w:eastAsia="黑体"/>
          <w:sz w:val="36"/>
          <w:szCs w:val="36"/>
          <w:lang w:val="en-US" w:eastAsia="zh-CN"/>
        </w:rPr>
        <w:t>江永县兰溪瑶族乡学校</w:t>
      </w: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spacing w:line="640" w:lineRule="exact"/>
        <w:jc w:val="left"/>
        <w:rPr>
          <w:rFonts w:ascii="Times New Roman" w:hAnsi="Times New Roman" w:eastAsia="方正小标宋_GBK"/>
          <w:sz w:val="36"/>
          <w:szCs w:val="36"/>
        </w:rPr>
      </w:pPr>
      <w:r>
        <w:rPr>
          <w:rFonts w:eastAsia="仿宋_GB2312"/>
          <w:sz w:val="32"/>
          <w:szCs w:val="32"/>
        </w:rPr>
        <w:br w:type="page"/>
      </w:r>
    </w:p>
    <w:p>
      <w:pPr>
        <w:numPr>
          <w:ilvl w:val="0"/>
          <w:numId w:val="1"/>
        </w:numPr>
        <w:spacing w:line="640" w:lineRule="exact"/>
        <w:ind w:firstLine="640" w:firstLineChars="200"/>
        <w:jc w:val="left"/>
        <w:rPr>
          <w:rFonts w:ascii="Times New Roman" w:hAnsi="Times New Roman" w:eastAsia="黑体"/>
          <w:sz w:val="32"/>
          <w:szCs w:val="32"/>
        </w:rPr>
      </w:pPr>
      <w:r>
        <w:rPr>
          <w:rFonts w:ascii="Times New Roman" w:hAnsi="Times New Roman" w:eastAsia="黑体"/>
          <w:sz w:val="32"/>
          <w:szCs w:val="32"/>
        </w:rPr>
        <w:t>项目支出基本情况</w:t>
      </w:r>
    </w:p>
    <w:p>
      <w:pPr>
        <w:spacing w:line="600" w:lineRule="exact"/>
        <w:ind w:firstLine="643" w:firstLineChars="200"/>
        <w:rPr>
          <w:rFonts w:eastAsia="楷体_GB2312"/>
          <w:b/>
          <w:sz w:val="32"/>
          <w:szCs w:val="32"/>
        </w:rPr>
      </w:pPr>
      <w:r>
        <w:rPr>
          <w:rFonts w:eastAsia="楷体_GB2312"/>
          <w:b/>
          <w:sz w:val="32"/>
          <w:szCs w:val="32"/>
        </w:rPr>
        <w:t>（一）部门基本情况</w:t>
      </w:r>
    </w:p>
    <w:p>
      <w:pPr>
        <w:spacing w:beforeLines="0" w:afterLines="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兰溪瑶族乡学校</w:t>
      </w:r>
      <w:r>
        <w:rPr>
          <w:rFonts w:hint="eastAsia" w:ascii="仿宋_GB2312" w:hAnsi="仿宋_GB2312" w:eastAsia="仿宋_GB2312" w:cs="仿宋_GB2312"/>
          <w:sz w:val="32"/>
          <w:szCs w:val="32"/>
        </w:rPr>
        <w:t>现有在编干部职工</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行政编制</w:t>
      </w:r>
      <w:r>
        <w:rPr>
          <w:rFonts w:hint="eastAsia" w:ascii="仿宋_GB2312" w:hAnsi="仿宋_GB2312" w:eastAsia="仿宋_GB2312" w:cs="仿宋_GB2312"/>
          <w:sz w:val="32"/>
          <w:szCs w:val="32"/>
          <w:lang w:val="en-US" w:eastAsia="zh-CN"/>
        </w:rPr>
        <w:t>0人</w:t>
      </w:r>
      <w:r>
        <w:rPr>
          <w:rFonts w:hint="eastAsia" w:ascii="仿宋_GB2312" w:hAnsi="仿宋_GB2312" w:eastAsia="仿宋_GB2312" w:cs="仿宋_GB2312"/>
          <w:sz w:val="32"/>
          <w:szCs w:val="32"/>
        </w:rPr>
        <w:t>，事业编制</w:t>
      </w:r>
      <w:r>
        <w:rPr>
          <w:rFonts w:hint="eastAsia" w:ascii="仿宋_GB2312" w:hAnsi="仿宋_GB2312" w:eastAsia="仿宋_GB2312" w:cs="仿宋_GB2312"/>
          <w:sz w:val="32"/>
          <w:szCs w:val="32"/>
          <w:lang w:val="en-US" w:eastAsia="zh-CN"/>
        </w:rPr>
        <w:t>30人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人。</w:t>
      </w:r>
    </w:p>
    <w:p>
      <w:pPr>
        <w:shd w:val="solid" w:color="FFFFFF" w:fill="auto"/>
        <w:autoSpaceDN w:val="0"/>
        <w:spacing w:beforeLines="0" w:afterLines="0" w:line="360" w:lineRule="auto"/>
        <w:ind w:left="105" w:firstLine="393"/>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兰溪瑶族乡学校</w:t>
      </w:r>
      <w:r>
        <w:rPr>
          <w:rFonts w:hint="eastAsia" w:ascii="仿宋_GB2312" w:hAnsi="仿宋_GB2312" w:eastAsia="仿宋_GB2312" w:cs="仿宋_GB2312"/>
          <w:sz w:val="32"/>
          <w:szCs w:val="32"/>
        </w:rPr>
        <w:t>负责管理</w:t>
      </w:r>
      <w:r>
        <w:rPr>
          <w:rFonts w:hint="eastAsia" w:ascii="仿宋_GB2312" w:hAnsi="仿宋_GB2312" w:eastAsia="仿宋_GB2312" w:cs="仿宋_GB2312"/>
          <w:sz w:val="32"/>
          <w:szCs w:val="32"/>
          <w:lang w:val="en-US" w:eastAsia="zh-CN"/>
        </w:rPr>
        <w:t>兰溪瑶族乡学校及香花井村小</w:t>
      </w:r>
      <w:r>
        <w:rPr>
          <w:rFonts w:hint="eastAsia" w:ascii="仿宋_GB2312" w:hAnsi="仿宋_GB2312" w:eastAsia="仿宋_GB2312" w:cs="仿宋_GB2312"/>
          <w:color w:val="auto"/>
          <w:sz w:val="32"/>
          <w:szCs w:val="32"/>
          <w:shd w:val="clear" w:color="auto" w:fill="FFFFFF"/>
          <w:lang w:eastAsia="zh-CN" w:bidi="ar-SA"/>
        </w:rPr>
        <w:t>。</w:t>
      </w:r>
      <w:r>
        <w:rPr>
          <w:rFonts w:hint="eastAsia" w:ascii="仿宋_GB2312" w:hAnsi="仿宋_GB2312" w:eastAsia="仿宋_GB2312" w:cs="仿宋_GB2312"/>
          <w:sz w:val="32"/>
          <w:szCs w:val="32"/>
          <w:lang w:val="en-US" w:eastAsia="zh-CN"/>
        </w:rPr>
        <w:t>2023-2024学年度，全校在校学生424</w:t>
      </w:r>
      <w:r>
        <w:rPr>
          <w:rFonts w:hint="eastAsia" w:ascii="仿宋_GB2312" w:hAnsi="仿宋_GB2312" w:eastAsia="仿宋_GB2312" w:cs="仿宋_GB2312"/>
          <w:sz w:val="32"/>
          <w:szCs w:val="32"/>
          <w:lang w:eastAsia="zh-CN"/>
        </w:rPr>
        <w:t>人。</w:t>
      </w:r>
    </w:p>
    <w:p>
      <w:pPr>
        <w:spacing w:line="520" w:lineRule="exact"/>
        <w:ind w:firstLine="643" w:firstLineChars="200"/>
        <w:rPr>
          <w:rFonts w:hint="eastAsia" w:ascii="CESI楷体-GB2312" w:hAnsi="CESI楷体-GB2312" w:eastAsia="CESI楷体-GB2312" w:cs="CESI楷体-GB2312"/>
          <w:b/>
          <w:bCs/>
          <w:kern w:val="0"/>
          <w:sz w:val="32"/>
          <w:szCs w:val="32"/>
        </w:rPr>
      </w:pPr>
      <w:r>
        <w:rPr>
          <w:rFonts w:hint="eastAsia" w:ascii="CESI楷体-GB2312" w:hAnsi="CESI楷体-GB2312" w:eastAsia="CESI楷体-GB2312" w:cs="CESI楷体-GB2312"/>
          <w:b/>
          <w:bCs/>
          <w:kern w:val="0"/>
          <w:sz w:val="32"/>
          <w:szCs w:val="32"/>
        </w:rPr>
        <w:t>（二</w:t>
      </w:r>
      <w:r>
        <w:rPr>
          <w:rFonts w:hint="eastAsia" w:ascii="CESI楷体-GB2312" w:hAnsi="CESI楷体-GB2312" w:eastAsia="CESI楷体-GB2312" w:cs="CESI楷体-GB2312"/>
          <w:b/>
          <w:bCs/>
          <w:kern w:val="0"/>
          <w:sz w:val="32"/>
          <w:szCs w:val="32"/>
          <w:lang w:eastAsia="zh-CN"/>
        </w:rPr>
        <w:t>）</w:t>
      </w:r>
      <w:r>
        <w:rPr>
          <w:rFonts w:hint="eastAsia" w:ascii="CESI楷体-GB2312" w:hAnsi="CESI楷体-GB2312" w:eastAsia="CESI楷体-GB2312" w:cs="CESI楷体-GB2312"/>
          <w:b/>
          <w:bCs/>
          <w:kern w:val="0"/>
          <w:sz w:val="32"/>
          <w:szCs w:val="32"/>
        </w:rPr>
        <w:t>项目绩效目标</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项目绩效总目标：充分发挥资金经济性、效率性和效益性，</w:t>
      </w:r>
      <w:r>
        <w:rPr>
          <w:rFonts w:hint="eastAsia" w:ascii="仿宋_GB2312" w:hAnsi="仿宋_GB2312" w:eastAsia="仿宋_GB2312" w:cs="仿宋_GB2312"/>
          <w:sz w:val="32"/>
          <w:szCs w:val="32"/>
        </w:rPr>
        <w:t>贯彻落实党和国家的教育方针政策、法律法规，全</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实施素质教育，努力提高教育教学质量，稳步推进全县教育事业持续健康协调发展。</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项目绩效阶段性目标：改善办学条件，推进学校建设，优化整合教学资源，提升办学条件和质量。</w:t>
      </w:r>
    </w:p>
    <w:p>
      <w:pPr>
        <w:pStyle w:val="6"/>
        <w:spacing w:line="600" w:lineRule="exact"/>
        <w:ind w:left="0" w:leftChars="0" w:firstLine="0" w:firstLineChars="0"/>
        <w:rPr>
          <w:rFonts w:hint="eastAsia" w:ascii="黑体" w:hAnsi="黑体" w:eastAsia="黑体" w:cs="黑体"/>
          <w:b/>
          <w:bCs/>
          <w:sz w:val="32"/>
          <w:szCs w:val="32"/>
        </w:rPr>
      </w:pPr>
      <w:r>
        <w:rPr>
          <w:rFonts w:hint="eastAsia" w:ascii="黑体" w:hAnsi="黑体" w:eastAsia="黑体" w:cs="黑体"/>
          <w:b/>
          <w:bCs/>
          <w:sz w:val="32"/>
          <w:szCs w:val="32"/>
        </w:rPr>
        <w:t>二、一般公共预算支出情况</w:t>
      </w:r>
    </w:p>
    <w:p>
      <w:pPr>
        <w:pStyle w:val="6"/>
        <w:spacing w:line="600" w:lineRule="exact"/>
        <w:ind w:left="0" w:leftChars="0" w:firstLine="643" w:firstLineChars="200"/>
        <w:rPr>
          <w:rFonts w:hint="eastAsia" w:ascii="楷体" w:hAnsi="楷体" w:eastAsia="楷体" w:cs="楷体"/>
          <w:b/>
          <w:sz w:val="32"/>
          <w:szCs w:val="32"/>
        </w:rPr>
      </w:pPr>
      <w:r>
        <w:rPr>
          <w:rFonts w:hint="eastAsia" w:ascii="楷体" w:hAnsi="楷体" w:eastAsia="楷体" w:cs="楷体"/>
          <w:b/>
          <w:sz w:val="32"/>
          <w:szCs w:val="32"/>
        </w:rPr>
        <w:t>（一）基本支出情况</w:t>
      </w:r>
    </w:p>
    <w:p>
      <w:pPr>
        <w:pStyle w:val="6"/>
        <w:spacing w:line="600" w:lineRule="exact"/>
        <w:ind w:firstLine="643"/>
        <w:rPr>
          <w:rFonts w:hint="eastAsia" w:ascii="宋体" w:hAnsi="宋体" w:eastAsia="宋体" w:cs="宋体"/>
          <w:b w:val="0"/>
          <w:bCs w:val="0"/>
          <w:sz w:val="28"/>
          <w:szCs w:val="28"/>
        </w:rPr>
      </w:pPr>
      <w:r>
        <w:rPr>
          <w:rFonts w:hint="eastAsia" w:ascii="仿宋_GB2312" w:hAnsi="仿宋_GB2312" w:eastAsia="仿宋_GB2312" w:cs="仿宋_GB2312"/>
          <w:b w:val="0"/>
          <w:bCs w:val="0"/>
          <w:kern w:val="0"/>
          <w:sz w:val="32"/>
          <w:szCs w:val="32"/>
        </w:rPr>
        <w:t>202</w:t>
      </w:r>
      <w:r>
        <w:rPr>
          <w:rFonts w:hint="eastAsia" w:ascii="仿宋_GB2312" w:hAnsi="仿宋_GB2312" w:eastAsia="仿宋_GB2312" w:cs="仿宋_GB2312"/>
          <w:b w:val="0"/>
          <w:bCs w:val="0"/>
          <w:kern w:val="0"/>
          <w:sz w:val="32"/>
          <w:szCs w:val="32"/>
          <w:lang w:val="en-US" w:eastAsia="zh-CN"/>
        </w:rPr>
        <w:t>3</w:t>
      </w:r>
      <w:r>
        <w:rPr>
          <w:rFonts w:hint="eastAsia" w:ascii="仿宋_GB2312" w:hAnsi="仿宋_GB2312" w:eastAsia="仿宋_GB2312" w:cs="仿宋_GB2312"/>
          <w:b w:val="0"/>
          <w:bCs w:val="0"/>
          <w:kern w:val="0"/>
          <w:sz w:val="32"/>
          <w:szCs w:val="32"/>
        </w:rPr>
        <w:t>年度</w:t>
      </w:r>
      <w:r>
        <w:rPr>
          <w:rFonts w:hint="eastAsia" w:ascii="仿宋_GB2312" w:hAnsi="仿宋_GB2312" w:eastAsia="仿宋_GB2312" w:cs="仿宋_GB2312"/>
          <w:b w:val="0"/>
          <w:bCs w:val="0"/>
          <w:kern w:val="0"/>
          <w:sz w:val="32"/>
          <w:szCs w:val="32"/>
          <w:lang w:eastAsia="zh-CN"/>
        </w:rPr>
        <w:t>，江永县兰溪瑶族乡学校</w:t>
      </w:r>
      <w:r>
        <w:rPr>
          <w:rFonts w:hint="eastAsia" w:ascii="仿宋_GB2312" w:hAnsi="仿宋_GB2312" w:eastAsia="仿宋_GB2312" w:cs="仿宋_GB2312"/>
          <w:b w:val="0"/>
          <w:bCs w:val="0"/>
          <w:kern w:val="0"/>
          <w:sz w:val="32"/>
          <w:szCs w:val="32"/>
        </w:rPr>
        <w:t>基本支出</w:t>
      </w:r>
      <w:r>
        <w:rPr>
          <w:rFonts w:hint="eastAsia" w:ascii="仿宋_GB2312" w:hAnsi="仿宋_GB2312" w:eastAsia="仿宋_GB2312" w:cs="仿宋_GB2312"/>
          <w:b w:val="0"/>
          <w:bCs w:val="0"/>
          <w:color w:val="auto"/>
          <w:kern w:val="0"/>
          <w:sz w:val="32"/>
          <w:szCs w:val="32"/>
          <w:lang w:val="en-US" w:eastAsia="zh-CN"/>
        </w:rPr>
        <w:t>354.25</w:t>
      </w:r>
      <w:r>
        <w:rPr>
          <w:rFonts w:hint="eastAsia" w:ascii="仿宋_GB2312" w:hAnsi="仿宋_GB2312" w:eastAsia="仿宋_GB2312" w:cs="仿宋_GB2312"/>
          <w:b w:val="0"/>
          <w:bCs w:val="0"/>
          <w:kern w:val="0"/>
          <w:sz w:val="32"/>
          <w:szCs w:val="32"/>
        </w:rPr>
        <w:t>万元。</w:t>
      </w:r>
      <w:r>
        <w:rPr>
          <w:rFonts w:hint="eastAsia" w:ascii="仿宋_GB2312" w:hAnsi="仿宋_GB2312" w:eastAsia="仿宋_GB2312" w:cs="仿宋_GB2312"/>
          <w:b w:val="0"/>
          <w:bCs w:val="0"/>
          <w:sz w:val="32"/>
          <w:szCs w:val="32"/>
          <w:lang w:val="en-US" w:eastAsia="zh-CN"/>
        </w:rPr>
        <w:t>主要用于</w:t>
      </w:r>
      <w:r>
        <w:rPr>
          <w:rFonts w:hint="eastAsia" w:ascii="仿宋_GB2312" w:hAnsi="仿宋_GB2312" w:eastAsia="仿宋_GB2312" w:cs="仿宋_GB2312"/>
          <w:b w:val="0"/>
          <w:bCs w:val="0"/>
          <w:kern w:val="0"/>
          <w:sz w:val="32"/>
          <w:szCs w:val="32"/>
          <w:lang w:val="en-US" w:eastAsia="zh-CN"/>
        </w:rPr>
        <w:t>江永县兰溪瑶族乡学校及香花井村小的</w:t>
      </w:r>
      <w:r>
        <w:rPr>
          <w:rFonts w:hint="eastAsia" w:ascii="仿宋_GB2312" w:hAnsi="仿宋_GB2312" w:eastAsia="仿宋_GB2312" w:cs="仿宋_GB2312"/>
          <w:b w:val="0"/>
          <w:bCs w:val="0"/>
          <w:sz w:val="32"/>
          <w:szCs w:val="32"/>
          <w:lang w:val="en-US" w:eastAsia="zh-CN"/>
        </w:rPr>
        <w:t>人员工资、办公费、水电费、邮电费、差旅费、车辆运行维护费、公务接待费、培训费、工会经费等。</w:t>
      </w:r>
    </w:p>
    <w:p>
      <w:pPr>
        <w:pStyle w:val="6"/>
        <w:numPr>
          <w:ilvl w:val="0"/>
          <w:numId w:val="2"/>
        </w:numPr>
        <w:spacing w:line="600" w:lineRule="exact"/>
        <w:ind w:firstLine="643"/>
        <w:rPr>
          <w:rFonts w:hint="eastAsia" w:ascii="楷体" w:hAnsi="楷体" w:eastAsia="楷体" w:cs="楷体"/>
          <w:b/>
          <w:sz w:val="32"/>
          <w:szCs w:val="32"/>
        </w:rPr>
      </w:pPr>
      <w:r>
        <w:rPr>
          <w:rFonts w:hint="eastAsia" w:ascii="楷体" w:hAnsi="楷体" w:eastAsia="楷体" w:cs="楷体"/>
          <w:b/>
          <w:sz w:val="32"/>
          <w:szCs w:val="32"/>
          <w:lang w:eastAsia="zh-CN"/>
        </w:rPr>
        <w:t>项目支出情况</w:t>
      </w:r>
    </w:p>
    <w:p>
      <w:pPr>
        <w:spacing w:line="360" w:lineRule="auto"/>
        <w:ind w:firstLine="640" w:firstLineChars="200"/>
        <w:rPr>
          <w:rFonts w:hint="eastAsia" w:ascii="仿宋_GB2312" w:hAnsi="仿宋_GB2312" w:eastAsia="仿宋_GB2312" w:cs="仿宋_GB2312"/>
          <w:b w:val="0"/>
          <w:bCs/>
          <w:kern w:val="0"/>
          <w:sz w:val="32"/>
          <w:szCs w:val="32"/>
          <w:lang w:val="en-US" w:eastAsia="zh-CN"/>
        </w:rPr>
      </w:pPr>
      <w:r>
        <w:rPr>
          <w:rFonts w:hint="eastAsia" w:ascii="仿宋_GB2312" w:hAnsi="仿宋_GB2312" w:eastAsia="仿宋_GB2312" w:cs="仿宋_GB2312"/>
          <w:b w:val="0"/>
          <w:bCs/>
          <w:sz w:val="32"/>
          <w:szCs w:val="32"/>
          <w:lang w:val="en-US" w:eastAsia="zh-CN"/>
        </w:rPr>
        <w:t>2023年度，</w:t>
      </w:r>
      <w:r>
        <w:rPr>
          <w:rFonts w:hint="eastAsia" w:ascii="仿宋_GB2312" w:hAnsi="仿宋_GB2312" w:eastAsia="仿宋_GB2312" w:cs="仿宋_GB2312"/>
          <w:b w:val="0"/>
          <w:bCs/>
          <w:kern w:val="0"/>
          <w:sz w:val="32"/>
          <w:szCs w:val="32"/>
          <w:lang w:eastAsia="zh-CN"/>
        </w:rPr>
        <w:t>江永县兰溪瑶族乡学校项目</w:t>
      </w:r>
      <w:r>
        <w:rPr>
          <w:rFonts w:hint="eastAsia" w:ascii="仿宋_GB2312" w:hAnsi="仿宋_GB2312" w:eastAsia="仿宋_GB2312" w:cs="仿宋_GB2312"/>
          <w:b w:val="0"/>
          <w:bCs/>
          <w:kern w:val="0"/>
          <w:sz w:val="32"/>
          <w:szCs w:val="32"/>
        </w:rPr>
        <w:t>支出</w:t>
      </w:r>
      <w:r>
        <w:rPr>
          <w:rFonts w:hint="eastAsia" w:ascii="仿宋_GB2312" w:hAnsi="仿宋_GB2312" w:eastAsia="仿宋_GB2312" w:cs="仿宋_GB2312"/>
          <w:b w:val="0"/>
          <w:bCs/>
          <w:color w:val="000000"/>
          <w:kern w:val="0"/>
          <w:sz w:val="32"/>
          <w:szCs w:val="32"/>
          <w:lang w:val="en-US" w:eastAsia="zh-CN"/>
        </w:rPr>
        <w:t>116.16</w:t>
      </w:r>
      <w:r>
        <w:rPr>
          <w:rFonts w:hint="eastAsia" w:ascii="仿宋_GB2312" w:hAnsi="仿宋_GB2312" w:eastAsia="仿宋_GB2312" w:cs="仿宋_GB2312"/>
          <w:b w:val="0"/>
          <w:bCs/>
          <w:kern w:val="0"/>
          <w:sz w:val="32"/>
          <w:szCs w:val="32"/>
        </w:rPr>
        <w:t>万元</w:t>
      </w:r>
      <w:r>
        <w:rPr>
          <w:rFonts w:hint="eastAsia" w:ascii="仿宋_GB2312" w:hAnsi="仿宋_GB2312" w:eastAsia="仿宋_GB2312" w:cs="仿宋_GB2312"/>
          <w:b w:val="0"/>
          <w:bCs/>
          <w:kern w:val="0"/>
          <w:sz w:val="32"/>
          <w:szCs w:val="32"/>
          <w:lang w:eastAsia="zh-CN"/>
        </w:rPr>
        <w:t>，主要用于全</w:t>
      </w:r>
      <w:r>
        <w:rPr>
          <w:rFonts w:hint="eastAsia" w:ascii="仿宋_GB2312" w:hAnsi="仿宋_GB2312" w:eastAsia="仿宋_GB2312" w:cs="仿宋_GB2312"/>
          <w:b w:val="0"/>
          <w:bCs/>
          <w:kern w:val="0"/>
          <w:sz w:val="32"/>
          <w:szCs w:val="32"/>
          <w:lang w:val="en-US" w:eastAsia="zh-CN"/>
        </w:rPr>
        <w:t>校的办公、绩效及津贴补贴等项目支出。其中：教育支出89.1</w:t>
      </w:r>
      <w:r>
        <w:rPr>
          <w:rFonts w:hint="eastAsia" w:ascii="仿宋_GB2312" w:hAnsi="仿宋_GB2312" w:eastAsia="仿宋_GB2312" w:cs="仿宋_GB2312"/>
          <w:b w:val="0"/>
          <w:bCs/>
          <w:kern w:val="0"/>
          <w:sz w:val="32"/>
          <w:szCs w:val="32"/>
        </w:rPr>
        <w:t>万元</w:t>
      </w:r>
      <w:r>
        <w:rPr>
          <w:rFonts w:hint="eastAsia" w:ascii="仿宋_GB2312" w:hAnsi="仿宋_GB2312" w:eastAsia="仿宋_GB2312" w:cs="仿宋_GB2312"/>
          <w:b w:val="0"/>
          <w:bCs/>
          <w:kern w:val="0"/>
          <w:sz w:val="32"/>
          <w:szCs w:val="32"/>
          <w:lang w:val="en-US" w:eastAsia="zh-CN"/>
        </w:rPr>
        <w:t>，提高生均公用经费支出11.4</w:t>
      </w:r>
      <w:r>
        <w:rPr>
          <w:rFonts w:hint="eastAsia" w:ascii="仿宋_GB2312" w:hAnsi="仿宋_GB2312" w:eastAsia="仿宋_GB2312" w:cs="仿宋_GB2312"/>
          <w:b w:val="0"/>
          <w:bCs/>
          <w:kern w:val="0"/>
          <w:sz w:val="32"/>
          <w:szCs w:val="32"/>
        </w:rPr>
        <w:t>万元</w:t>
      </w:r>
      <w:r>
        <w:rPr>
          <w:rFonts w:hint="eastAsia" w:ascii="仿宋_GB2312" w:hAnsi="仿宋_GB2312" w:eastAsia="仿宋_GB2312" w:cs="仿宋_GB2312"/>
          <w:b w:val="0"/>
          <w:bCs/>
          <w:kern w:val="0"/>
          <w:sz w:val="32"/>
          <w:szCs w:val="32"/>
          <w:lang w:eastAsia="zh-CN"/>
        </w:rPr>
        <w:t>，</w:t>
      </w:r>
      <w:r>
        <w:rPr>
          <w:rFonts w:hint="eastAsia" w:ascii="仿宋_GB2312" w:hAnsi="仿宋_GB2312" w:eastAsia="仿宋_GB2312" w:cs="仿宋_GB2312"/>
          <w:b w:val="0"/>
          <w:bCs/>
          <w:kern w:val="0"/>
          <w:sz w:val="32"/>
          <w:szCs w:val="32"/>
          <w:lang w:val="en-US" w:eastAsia="zh-CN"/>
        </w:rPr>
        <w:t>其它</w:t>
      </w:r>
      <w:r>
        <w:rPr>
          <w:rFonts w:hint="eastAsia" w:ascii="仿宋_GB2312" w:hAnsi="仿宋_GB2312" w:eastAsia="仿宋_GB2312" w:cs="仿宋_GB2312"/>
          <w:b w:val="0"/>
          <w:bCs/>
          <w:kern w:val="0"/>
          <w:sz w:val="32"/>
          <w:szCs w:val="32"/>
          <w:lang w:eastAsia="zh-CN"/>
        </w:rPr>
        <w:t>支出</w:t>
      </w:r>
      <w:r>
        <w:rPr>
          <w:rFonts w:hint="eastAsia" w:ascii="仿宋_GB2312" w:hAnsi="仿宋_GB2312" w:eastAsia="仿宋_GB2312" w:cs="仿宋_GB2312"/>
          <w:b w:val="0"/>
          <w:bCs/>
          <w:kern w:val="0"/>
          <w:sz w:val="32"/>
          <w:szCs w:val="32"/>
          <w:lang w:val="en-US" w:eastAsia="zh-CN"/>
        </w:rPr>
        <w:t>14.6万元</w:t>
      </w:r>
      <w:r>
        <w:rPr>
          <w:rFonts w:hint="eastAsia" w:ascii="仿宋_GB2312" w:hAnsi="仿宋_GB2312" w:eastAsia="仿宋_GB2312" w:cs="仿宋_GB2312"/>
          <w:b w:val="0"/>
          <w:bCs/>
          <w:kern w:val="0"/>
          <w:sz w:val="32"/>
          <w:szCs w:val="32"/>
          <w:lang w:eastAsia="zh-CN"/>
        </w:rPr>
        <w:t>。</w:t>
      </w:r>
    </w:p>
    <w:p>
      <w:pPr>
        <w:pStyle w:val="6"/>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三、</w:t>
      </w:r>
      <w:r>
        <w:rPr>
          <w:rFonts w:ascii="Times New Roman" w:hAnsi="Times New Roman" w:eastAsia="黑体"/>
          <w:b/>
          <w:bCs/>
          <w:sz w:val="32"/>
          <w:szCs w:val="32"/>
        </w:rPr>
        <w:t>政府性基金预算支出情况</w:t>
      </w:r>
    </w:p>
    <w:p>
      <w:pPr>
        <w:pStyle w:val="6"/>
        <w:numPr>
          <w:ilvl w:val="0"/>
          <w:numId w:val="0"/>
        </w:num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无政府性基金预算支出</w:t>
      </w:r>
      <w:r>
        <w:rPr>
          <w:rFonts w:hint="eastAsia" w:ascii="仿宋_GB2312" w:hAnsi="仿宋_GB2312" w:eastAsia="仿宋_GB2312" w:cs="仿宋_GB2312"/>
          <w:b w:val="0"/>
          <w:bCs w:val="0"/>
          <w:sz w:val="32"/>
          <w:szCs w:val="32"/>
          <w:lang w:eastAsia="zh-CN"/>
        </w:rPr>
        <w:t>。</w:t>
      </w:r>
    </w:p>
    <w:p>
      <w:pPr>
        <w:pStyle w:val="6"/>
        <w:numPr>
          <w:ilvl w:val="0"/>
          <w:numId w:val="0"/>
        </w:numPr>
        <w:spacing w:line="600" w:lineRule="exact"/>
        <w:rPr>
          <w:rFonts w:ascii="Times New Roman" w:hAnsi="Times New Roman" w:eastAsia="黑体"/>
          <w:sz w:val="32"/>
          <w:szCs w:val="32"/>
        </w:rPr>
      </w:pPr>
      <w:r>
        <w:rPr>
          <w:rFonts w:hint="eastAsia" w:ascii="Times New Roman" w:hAnsi="Times New Roman" w:eastAsia="黑体"/>
          <w:b/>
          <w:bCs/>
          <w:sz w:val="32"/>
          <w:szCs w:val="32"/>
          <w:lang w:eastAsia="zh-CN"/>
        </w:rPr>
        <w:t>四、</w:t>
      </w:r>
      <w:r>
        <w:rPr>
          <w:rFonts w:ascii="Times New Roman" w:hAnsi="Times New Roman" w:eastAsia="黑体"/>
          <w:b/>
          <w:bCs/>
          <w:sz w:val="32"/>
          <w:szCs w:val="32"/>
        </w:rPr>
        <w:t>国有资本经营预算支出情况</w:t>
      </w:r>
    </w:p>
    <w:p>
      <w:pPr>
        <w:pStyle w:val="6"/>
        <w:numPr>
          <w:ilvl w:val="0"/>
          <w:numId w:val="0"/>
        </w:numPr>
        <w:spacing w:line="600" w:lineRule="exact"/>
        <w:ind w:left="630"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教育系统</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年度无国有资本经营预算支出。</w:t>
      </w:r>
    </w:p>
    <w:p>
      <w:pPr>
        <w:pStyle w:val="6"/>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五、</w:t>
      </w:r>
      <w:r>
        <w:rPr>
          <w:rFonts w:ascii="Times New Roman" w:hAnsi="Times New Roman" w:eastAsia="黑体"/>
          <w:b/>
          <w:bCs/>
          <w:sz w:val="32"/>
          <w:szCs w:val="32"/>
        </w:rPr>
        <w:t>社会保险基金预算支出情况</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val="0"/>
          <w:sz w:val="32"/>
          <w:szCs w:val="32"/>
          <w:lang w:eastAsia="zh-CN"/>
        </w:rPr>
        <w:t>教育系统</w:t>
      </w:r>
      <w:r>
        <w:rPr>
          <w:rFonts w:hint="eastAsia" w:ascii="仿宋_GB2312" w:hAnsi="仿宋_GB2312" w:eastAsia="仿宋_GB2312" w:cs="仿宋_GB2312"/>
          <w:b w:val="0"/>
          <w:bCs/>
          <w:sz w:val="32"/>
          <w:szCs w:val="32"/>
          <w:lang w:eastAsia="zh-CN"/>
        </w:rPr>
        <w:t>202</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lang w:eastAsia="zh-CN"/>
        </w:rPr>
        <w:t>年度无社会保险基金预算支出。</w:t>
      </w:r>
    </w:p>
    <w:p>
      <w:pPr>
        <w:spacing w:line="600" w:lineRule="exact"/>
        <w:rPr>
          <w:rFonts w:eastAsia="黑体"/>
          <w:b/>
          <w:bCs/>
          <w:sz w:val="32"/>
          <w:szCs w:val="32"/>
        </w:rPr>
      </w:pPr>
      <w:r>
        <w:rPr>
          <w:rFonts w:hint="eastAsia" w:eastAsia="黑体"/>
          <w:b/>
          <w:bCs/>
          <w:sz w:val="32"/>
          <w:szCs w:val="32"/>
          <w:lang w:eastAsia="zh-CN"/>
        </w:rPr>
        <w:t>六</w:t>
      </w:r>
      <w:r>
        <w:rPr>
          <w:rFonts w:eastAsia="黑体"/>
          <w:b/>
          <w:bCs/>
          <w:sz w:val="32"/>
          <w:szCs w:val="32"/>
        </w:rPr>
        <w:t>、部门整体支出绩效情况</w:t>
      </w:r>
    </w:p>
    <w:p>
      <w:pPr>
        <w:pStyle w:val="6"/>
        <w:spacing w:line="600" w:lineRule="exact"/>
        <w:ind w:firstLine="640"/>
        <w:rPr>
          <w:rFonts w:hint="eastAsia"/>
          <w:sz w:val="28"/>
          <w:szCs w:val="28"/>
          <w:lang w:val="en-US" w:eastAsia="zh-CN"/>
        </w:rPr>
      </w:pPr>
      <w:r>
        <w:rPr>
          <w:rFonts w:hint="eastAsia" w:ascii="仿宋_GB2312" w:hAnsi="仿宋_GB2312" w:eastAsia="仿宋_GB2312" w:cs="仿宋_GB2312"/>
          <w:sz w:val="32"/>
          <w:szCs w:val="32"/>
        </w:rPr>
        <w:t>通过绩效评价工作组对全部项目的实施情况进行了整体跟踪，从项目安排、实施、资金的拨付进行了综合评价，认为教育资金项目任务目标明确，资金到位</w:t>
      </w:r>
      <w:r>
        <w:rPr>
          <w:rFonts w:hint="eastAsia" w:ascii="仿宋_GB2312" w:hAnsi="仿宋_GB2312" w:eastAsia="仿宋_GB2312" w:cs="仿宋_GB2312"/>
          <w:sz w:val="32"/>
          <w:szCs w:val="32"/>
          <w:lang w:eastAsia="zh-CN"/>
        </w:rPr>
        <w:t>比较</w:t>
      </w:r>
      <w:r>
        <w:rPr>
          <w:rFonts w:hint="eastAsia" w:ascii="仿宋_GB2312" w:hAnsi="仿宋_GB2312" w:eastAsia="仿宋_GB2312" w:cs="仿宋_GB2312"/>
          <w:sz w:val="32"/>
          <w:szCs w:val="32"/>
        </w:rPr>
        <w:t>及时，并制定了科学的实施计划，项目实施过程中严格按照有关项目管理和经费管理规定执行，目前各项目持续稳定进展，具有较好的经济和社会效益。我县项目基础数据信息真实、资料收集齐全，每一个项目都有完整的资料，实施进度也基本达到上级的要求。目前项目已全部</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完成，学生、家长、人民群众都很满意</w:t>
      </w:r>
      <w:r>
        <w:rPr>
          <w:rFonts w:hint="eastAsia" w:ascii="仿宋_GB2312" w:hAnsi="仿宋_GB2312" w:eastAsia="仿宋_GB2312" w:cs="仿宋_GB2312"/>
          <w:sz w:val="32"/>
          <w:szCs w:val="32"/>
          <w:lang w:eastAsia="zh-CN"/>
        </w:rPr>
        <w:t>，本次绩效综合评价得分为</w:t>
      </w:r>
      <w:r>
        <w:rPr>
          <w:rFonts w:hint="eastAsia" w:ascii="仿宋_GB2312" w:hAnsi="仿宋_GB2312" w:eastAsia="仿宋_GB2312" w:cs="仿宋_GB2312"/>
          <w:sz w:val="32"/>
          <w:szCs w:val="32"/>
          <w:lang w:val="en-US" w:eastAsia="zh-CN"/>
        </w:rPr>
        <w:t>100分。</w:t>
      </w:r>
    </w:p>
    <w:p>
      <w:pPr>
        <w:pStyle w:val="6"/>
        <w:spacing w:line="600" w:lineRule="exact"/>
        <w:ind w:left="0" w:leftChars="0" w:firstLine="0" w:firstLineChars="0"/>
        <w:rPr>
          <w:rFonts w:hint="eastAsia" w:ascii="黑体" w:hAnsi="黑体" w:eastAsia="黑体" w:cs="黑体"/>
          <w:b/>
          <w:bCs/>
          <w:sz w:val="32"/>
          <w:szCs w:val="32"/>
          <w:lang w:val="en-US" w:eastAsia="zh-CN"/>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、存在的问题及</w:t>
      </w:r>
      <w:r>
        <w:rPr>
          <w:rFonts w:hint="eastAsia" w:ascii="黑体" w:hAnsi="黑体" w:eastAsia="黑体" w:cs="黑体"/>
          <w:b/>
          <w:bCs/>
          <w:sz w:val="32"/>
          <w:szCs w:val="32"/>
          <w:lang w:eastAsia="zh-CN"/>
        </w:rPr>
        <w:t>原因分析</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国库资金支</w:t>
      </w:r>
      <w:r>
        <w:rPr>
          <w:rFonts w:hint="eastAsia" w:ascii="仿宋_GB2312" w:hAnsi="仿宋_GB2312" w:eastAsia="仿宋_GB2312" w:cs="仿宋_GB2312"/>
          <w:sz w:val="32"/>
          <w:szCs w:val="32"/>
          <w:lang w:eastAsia="zh-CN"/>
        </w:rPr>
        <w:t>付流程</w:t>
      </w:r>
      <w:r>
        <w:rPr>
          <w:rFonts w:hint="eastAsia" w:ascii="仿宋_GB2312" w:hAnsi="仿宋_GB2312" w:eastAsia="仿宋_GB2312" w:cs="仿宋_GB2312"/>
          <w:sz w:val="32"/>
          <w:szCs w:val="32"/>
        </w:rPr>
        <w:t>复杂，</w:t>
      </w:r>
      <w:r>
        <w:rPr>
          <w:rFonts w:hint="eastAsia" w:ascii="仿宋_GB2312" w:hAnsi="仿宋_GB2312" w:eastAsia="仿宋_GB2312" w:cs="仿宋_GB2312"/>
          <w:sz w:val="32"/>
          <w:szCs w:val="32"/>
          <w:lang w:val="en-US" w:eastAsia="zh-CN"/>
        </w:rPr>
        <w:t>录单审核过于拖延，不能按时支付。很多正常支出受资金监控限制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给支付录单工作带来很多不便。</w:t>
      </w:r>
      <w:r>
        <w:rPr>
          <w:rFonts w:hint="eastAsia" w:ascii="仿宋_GB2312" w:hAnsi="仿宋_GB2312" w:eastAsia="仿宋_GB2312" w:cs="仿宋_GB2312"/>
          <w:sz w:val="32"/>
          <w:szCs w:val="32"/>
        </w:rPr>
        <w:t>实施时间跨度大，项目实施进度缓慢。</w:t>
      </w:r>
    </w:p>
    <w:p>
      <w:pPr>
        <w:numPr>
          <w:ilvl w:val="0"/>
          <w:numId w:val="0"/>
        </w:numPr>
        <w:spacing w:line="600" w:lineRule="exact"/>
        <w:rPr>
          <w:rFonts w:eastAsia="黑体"/>
          <w:b/>
          <w:bCs/>
          <w:sz w:val="32"/>
          <w:szCs w:val="32"/>
        </w:rPr>
      </w:pPr>
      <w:r>
        <w:rPr>
          <w:rFonts w:hint="eastAsia" w:eastAsia="黑体"/>
          <w:b/>
          <w:bCs/>
          <w:sz w:val="32"/>
          <w:szCs w:val="32"/>
          <w:lang w:eastAsia="zh-CN"/>
        </w:rPr>
        <w:t>八、</w:t>
      </w:r>
      <w:r>
        <w:rPr>
          <w:rFonts w:eastAsia="黑体"/>
          <w:b/>
          <w:bCs/>
          <w:sz w:val="32"/>
          <w:szCs w:val="32"/>
        </w:rPr>
        <w:t>下一步改进措施</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绩效评价工作要各部门协调齐头并进，制定方案，</w:t>
      </w:r>
      <w:bookmarkStart w:id="0" w:name="_GoBack"/>
      <w:bookmarkEnd w:id="0"/>
      <w:r>
        <w:rPr>
          <w:rFonts w:hint="eastAsia" w:ascii="仿宋_GB2312" w:hAnsi="仿宋_GB2312" w:eastAsia="仿宋_GB2312" w:cs="仿宋_GB2312"/>
          <w:sz w:val="32"/>
          <w:szCs w:val="32"/>
          <w:lang w:eastAsia="zh-CN"/>
        </w:rPr>
        <w:t>各司其职。通过绩效评价，要加强资金的管理。</w:t>
      </w:r>
      <w:r>
        <w:rPr>
          <w:rFonts w:hint="eastAsia" w:ascii="仿宋_GB2312" w:hAnsi="仿宋_GB2312" w:eastAsia="仿宋_GB2312" w:cs="仿宋_GB2312"/>
          <w:sz w:val="32"/>
          <w:szCs w:val="32"/>
        </w:rPr>
        <w:t>一是强化项目制度管理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严格项目资金审批程序，确保项目顺利推进。我县对专项资金使用管理、项目立项审批、项目基建管理、项目政府采购和招投标等环节和事项进行了明确的规定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强化教育</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在预算、分配、拨付、财务管理、审计等全过程的监督检查，不断提高教育经费的使用效益。二是强化项目统筹管理。实行局领导和局机关各股室负责对联系学校</w:t>
      </w:r>
      <w:r>
        <w:rPr>
          <w:rFonts w:hint="eastAsia" w:ascii="仿宋_GB2312" w:hAnsi="仿宋_GB2312" w:eastAsia="仿宋_GB2312" w:cs="仿宋_GB2312"/>
          <w:sz w:val="32"/>
          <w:szCs w:val="32"/>
          <w:lang w:eastAsia="zh-CN"/>
        </w:rPr>
        <w:t>各种</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资金实施</w:t>
      </w:r>
      <w:r>
        <w:rPr>
          <w:rFonts w:hint="eastAsia" w:ascii="仿宋_GB2312" w:hAnsi="仿宋_GB2312" w:eastAsia="仿宋_GB2312" w:cs="仿宋_GB2312"/>
          <w:sz w:val="32"/>
          <w:szCs w:val="32"/>
        </w:rPr>
        <w:t>进行全过程监督指导。</w:t>
      </w:r>
    </w:p>
    <w:p>
      <w:pPr>
        <w:numPr>
          <w:ilvl w:val="0"/>
          <w:numId w:val="0"/>
        </w:numPr>
        <w:spacing w:line="600" w:lineRule="exact"/>
        <w:rPr>
          <w:rFonts w:eastAsia="黑体"/>
          <w:b/>
          <w:bCs/>
          <w:sz w:val="32"/>
          <w:szCs w:val="32"/>
        </w:rPr>
      </w:pPr>
      <w:r>
        <w:rPr>
          <w:rFonts w:hint="eastAsia" w:eastAsia="黑体"/>
          <w:b/>
          <w:bCs/>
          <w:sz w:val="32"/>
          <w:szCs w:val="32"/>
          <w:lang w:eastAsia="zh-CN"/>
        </w:rPr>
        <w:t>九、</w:t>
      </w:r>
      <w:r>
        <w:rPr>
          <w:rFonts w:eastAsia="黑体"/>
          <w:b/>
          <w:bCs/>
          <w:sz w:val="32"/>
          <w:szCs w:val="32"/>
        </w:rPr>
        <w:t>绩效自评结果拟应用和公开情况</w:t>
      </w:r>
    </w:p>
    <w:p>
      <w:pPr>
        <w:numPr>
          <w:ilvl w:val="0"/>
          <w:numId w:val="0"/>
        </w:num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从绩效自评结果来看，</w:t>
      </w:r>
      <w:r>
        <w:rPr>
          <w:rFonts w:hint="eastAsia" w:ascii="仿宋_GB2312" w:hAnsi="仿宋_GB2312" w:eastAsia="仿宋_GB2312" w:cs="仿宋_GB2312"/>
          <w:b w:val="0"/>
          <w:bCs w:val="0"/>
          <w:kern w:val="0"/>
          <w:sz w:val="32"/>
          <w:szCs w:val="32"/>
          <w:lang w:eastAsia="zh-CN"/>
        </w:rPr>
        <w:t>江永县兰溪瑶族乡学校</w:t>
      </w:r>
      <w:r>
        <w:rPr>
          <w:rFonts w:hint="eastAsia" w:ascii="仿宋_GB2312" w:hAnsi="仿宋_GB2312" w:eastAsia="仿宋_GB2312" w:cs="仿宋_GB2312"/>
          <w:b w:val="0"/>
          <w:bCs w:val="0"/>
          <w:kern w:val="0"/>
          <w:sz w:val="32"/>
          <w:szCs w:val="32"/>
        </w:rPr>
        <w:t>部门整体</w:t>
      </w:r>
      <w:r>
        <w:rPr>
          <w:rFonts w:hint="eastAsia" w:ascii="仿宋" w:hAnsi="仿宋" w:eastAsia="仿宋" w:cs="仿宋"/>
          <w:sz w:val="32"/>
          <w:szCs w:val="32"/>
          <w:lang w:val="en-US" w:eastAsia="zh-CN"/>
        </w:rPr>
        <w:t>支出绩效较好，有力推动了全县教育事业持续健康发展。根据预算绩效评价的有关规定，江永县兰溪瑶族乡学校将在江永政府网公示绩效自评报告。</w:t>
      </w:r>
    </w:p>
    <w:p>
      <w:pPr>
        <w:numPr>
          <w:ilvl w:val="0"/>
          <w:numId w:val="0"/>
        </w:numPr>
        <w:spacing w:line="600" w:lineRule="exact"/>
        <w:rPr>
          <w:rFonts w:eastAsia="黑体"/>
          <w:b/>
          <w:bCs/>
          <w:sz w:val="32"/>
          <w:szCs w:val="32"/>
        </w:rPr>
      </w:pPr>
      <w:r>
        <w:rPr>
          <w:rFonts w:hint="eastAsia" w:eastAsia="黑体"/>
          <w:b/>
          <w:bCs/>
          <w:sz w:val="32"/>
          <w:szCs w:val="32"/>
          <w:lang w:eastAsia="zh-CN"/>
        </w:rPr>
        <w:t>十、</w:t>
      </w:r>
      <w:r>
        <w:rPr>
          <w:rFonts w:eastAsia="黑体"/>
          <w:b/>
          <w:bCs/>
          <w:sz w:val="32"/>
          <w:szCs w:val="32"/>
        </w:rPr>
        <w:t>其他需要说明的情况</w:t>
      </w:r>
    </w:p>
    <w:p>
      <w:pPr>
        <w:numPr>
          <w:ilvl w:val="0"/>
          <w:numId w:val="0"/>
        </w:numPr>
        <w:spacing w:line="600" w:lineRule="exact"/>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无。</w:t>
      </w:r>
    </w:p>
    <w:p>
      <w:pPr>
        <w:jc w:val="right"/>
        <w:rPr>
          <w:rFonts w:hint="eastAsia"/>
          <w:sz w:val="28"/>
          <w:szCs w:val="28"/>
          <w:lang w:val="en-US" w:eastAsia="zh-CN"/>
        </w:rPr>
      </w:pPr>
      <w:r>
        <w:rPr>
          <w:rFonts w:hint="eastAsia"/>
          <w:sz w:val="28"/>
          <w:szCs w:val="28"/>
          <w:lang w:val="en-US" w:eastAsia="zh-CN"/>
        </w:rPr>
        <w:t>江永县兰溪瑶族乡学校</w:t>
      </w:r>
    </w:p>
    <w:p>
      <w:pPr>
        <w:pStyle w:val="2"/>
        <w:jc w:val="right"/>
        <w:rPr>
          <w:rFonts w:hint="eastAsia"/>
          <w:sz w:val="28"/>
          <w:szCs w:val="28"/>
          <w:lang w:val="en-US" w:eastAsia="zh-CN"/>
        </w:rPr>
      </w:pPr>
      <w:r>
        <w:rPr>
          <w:rFonts w:hint="eastAsia"/>
          <w:sz w:val="28"/>
          <w:szCs w:val="28"/>
          <w:lang w:val="en-US" w:eastAsia="zh-CN"/>
        </w:rPr>
        <w:t>2024年3月12日</w:t>
      </w:r>
    </w:p>
    <w:p>
      <w:pPr>
        <w:rPr>
          <w:rFonts w:hint="eastAsia"/>
          <w:sz w:val="28"/>
          <w:szCs w:val="28"/>
          <w:lang w:val="en-US" w:eastAsia="zh-CN"/>
        </w:rPr>
      </w:pPr>
      <w:r>
        <w:rPr>
          <w:rFonts w:hint="eastAsia"/>
          <w:sz w:val="28"/>
          <w:szCs w:val="28"/>
          <w:lang w:val="en-US" w:eastAsia="zh-CN"/>
        </w:rPr>
        <w:br w:type="page"/>
      </w:r>
    </w:p>
    <w:p>
      <w:pPr>
        <w:widowControl/>
        <w:jc w:val="center"/>
        <w:rPr>
          <w:rFonts w:hint="eastAsia" w:ascii="黑体" w:hAnsi="黑体" w:eastAsia="黑体"/>
          <w:kern w:val="0"/>
          <w:sz w:val="44"/>
          <w:szCs w:val="44"/>
          <w:lang w:val="en-US" w:eastAsia="zh-CN"/>
        </w:rPr>
      </w:pPr>
      <w:r>
        <w:rPr>
          <w:rFonts w:hint="eastAsia" w:ascii="黑体" w:hAnsi="黑体" w:eastAsia="黑体"/>
          <w:kern w:val="0"/>
          <w:sz w:val="44"/>
          <w:szCs w:val="44"/>
        </w:rPr>
        <w:t>江永县</w:t>
      </w:r>
      <w:r>
        <w:rPr>
          <w:rFonts w:hint="eastAsia" w:ascii="黑体" w:hAnsi="黑体" w:eastAsia="黑体"/>
          <w:kern w:val="0"/>
          <w:sz w:val="44"/>
          <w:szCs w:val="44"/>
          <w:lang w:val="en-US" w:eastAsia="zh-CN"/>
        </w:rPr>
        <w:t>兰溪瑶族乡学校</w:t>
      </w:r>
    </w:p>
    <w:p>
      <w:pPr>
        <w:widowControl/>
        <w:jc w:val="center"/>
        <w:rPr>
          <w:rFonts w:hint="eastAsia" w:ascii="黑体" w:hAnsi="黑体" w:eastAsia="黑体"/>
          <w:kern w:val="0"/>
          <w:sz w:val="44"/>
          <w:szCs w:val="44"/>
        </w:rPr>
      </w:pPr>
      <w:r>
        <w:rPr>
          <w:rFonts w:hint="eastAsia" w:ascii="黑体" w:hAnsi="黑体" w:eastAsia="黑体"/>
          <w:kern w:val="0"/>
          <w:sz w:val="44"/>
          <w:szCs w:val="44"/>
          <w:lang w:val="en-US" w:eastAsia="zh-CN"/>
        </w:rPr>
        <w:t>2023年度部</w:t>
      </w:r>
      <w:r>
        <w:rPr>
          <w:rFonts w:ascii="黑体" w:hAnsi="黑体" w:eastAsia="黑体"/>
          <w:kern w:val="0"/>
          <w:sz w:val="44"/>
          <w:szCs w:val="44"/>
        </w:rPr>
        <w:t>门整体支出绩效评价表</w:t>
      </w:r>
    </w:p>
    <w:tbl>
      <w:tblPr>
        <w:tblStyle w:val="3"/>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r>
              <w:rPr>
                <w:rFonts w:eastAsia="仿宋_GB2312"/>
                <w:kern w:val="0"/>
                <w:sz w:val="20"/>
                <w:szCs w:val="20"/>
              </w:rPr>
              <w:br w:type="textWrapping"/>
            </w: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0"/>
            <w:vAlign w:val="center"/>
          </w:tcPr>
          <w:p>
            <w:pPr>
              <w:widowControl/>
              <w:jc w:val="left"/>
              <w:rPr>
                <w:rFonts w:hint="eastAsia"/>
                <w:color w:val="000000"/>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r>
              <w:rPr>
                <w:rFonts w:eastAsia="仿宋_GB2312"/>
                <w:kern w:val="0"/>
                <w:sz w:val="20"/>
                <w:szCs w:val="20"/>
              </w:rPr>
              <w:br w:type="textWrapping"/>
            </w: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color w:val="000000"/>
                <w:kern w:val="0"/>
                <w:sz w:val="24"/>
              </w:rPr>
            </w:pPr>
            <w:r>
              <w:rPr>
                <w:rFonts w:hint="eastAsia"/>
                <w:color w:val="000000"/>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eastAsia="zh-CN"/>
              </w:rPr>
            </w:pPr>
            <w:r>
              <w:rPr>
                <w:rFonts w:hint="eastAsia"/>
                <w:kern w:val="0"/>
                <w:sz w:val="24"/>
                <w:lang w:val="en-US" w:eastAsia="zh-CN"/>
              </w:rPr>
              <w:t>7</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r>
              <w:rPr>
                <w:rFonts w:eastAsia="仿宋_GB2312"/>
                <w:kern w:val="0"/>
                <w:sz w:val="20"/>
                <w:szCs w:val="20"/>
              </w:rPr>
              <w:br w:type="textWrapping"/>
            </w: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r>
              <w:rPr>
                <w:rFonts w:eastAsia="仿宋_GB2312"/>
                <w:kern w:val="0"/>
                <w:sz w:val="20"/>
                <w:szCs w:val="20"/>
              </w:rPr>
              <w:br w:type="textWrapping"/>
            </w: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10</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rPr>
          <w:rFonts w:hint="eastAsia" w:ascii="黑体" w:hAnsi="黑体" w:eastAsia="黑体"/>
          <w:kern w:val="0"/>
          <w:sz w:val="44"/>
          <w:szCs w:val="44"/>
          <w:lang w:val="en-US" w:eastAsia="zh-CN"/>
        </w:rPr>
      </w:pPr>
      <w:r>
        <w:rPr>
          <w:rFonts w:hint="eastAsia" w:ascii="黑体" w:hAnsi="黑体" w:eastAsia="黑体"/>
          <w:kern w:val="0"/>
          <w:sz w:val="44"/>
          <w:szCs w:val="44"/>
          <w:lang w:val="en-US" w:eastAsia="zh-CN"/>
        </w:rPr>
        <w:br w:type="page"/>
      </w:r>
    </w:p>
    <w:p>
      <w:pPr>
        <w:widowControl/>
        <w:jc w:val="center"/>
        <w:rPr>
          <w:rFonts w:hint="eastAsia" w:ascii="黑体" w:hAnsi="黑体" w:eastAsia="黑体"/>
          <w:kern w:val="0"/>
          <w:sz w:val="44"/>
          <w:szCs w:val="44"/>
          <w:lang w:val="en-US" w:eastAsia="zh-CN"/>
        </w:rPr>
      </w:pPr>
      <w:r>
        <w:rPr>
          <w:rFonts w:hint="eastAsia" w:ascii="黑体" w:hAnsi="黑体" w:eastAsia="黑体"/>
          <w:kern w:val="0"/>
          <w:sz w:val="44"/>
          <w:szCs w:val="44"/>
          <w:lang w:val="en-US" w:eastAsia="zh-CN"/>
        </w:rPr>
        <w:t>2023年度</w:t>
      </w:r>
      <w:r>
        <w:rPr>
          <w:rFonts w:hint="eastAsia" w:ascii="黑体" w:hAnsi="黑体" w:eastAsia="黑体"/>
          <w:kern w:val="0"/>
          <w:sz w:val="44"/>
          <w:szCs w:val="44"/>
        </w:rPr>
        <w:t>江永县</w:t>
      </w:r>
      <w:r>
        <w:rPr>
          <w:rFonts w:hint="eastAsia" w:ascii="黑体" w:hAnsi="黑体" w:eastAsia="黑体"/>
          <w:kern w:val="0"/>
          <w:sz w:val="44"/>
          <w:szCs w:val="44"/>
          <w:lang w:val="en-US" w:eastAsia="zh-CN"/>
        </w:rPr>
        <w:t>兰溪瑶族乡学校</w:t>
      </w:r>
    </w:p>
    <w:p>
      <w:pPr>
        <w:widowControl/>
        <w:spacing w:line="560" w:lineRule="exact"/>
        <w:jc w:val="center"/>
        <w:rPr>
          <w:rFonts w:hint="eastAsia" w:eastAsia="方正小标宋_GBK"/>
          <w:kern w:val="0"/>
          <w:sz w:val="44"/>
          <w:szCs w:val="44"/>
        </w:rPr>
      </w:pPr>
      <w:r>
        <w:rPr>
          <w:rFonts w:hint="eastAsia" w:eastAsia="方正小标宋_GBK"/>
          <w:kern w:val="0"/>
          <w:sz w:val="44"/>
          <w:szCs w:val="44"/>
        </w:rPr>
        <w:t>整体支出绩效自评报告</w:t>
      </w:r>
    </w:p>
    <w:p>
      <w:pPr>
        <w:widowControl/>
        <w:spacing w:line="560" w:lineRule="exact"/>
        <w:jc w:val="center"/>
        <w:rPr>
          <w:rFonts w:hint="eastAsia" w:eastAsia="方正小标宋_GBK"/>
          <w:kern w:val="0"/>
          <w:sz w:val="36"/>
          <w:szCs w:val="36"/>
        </w:rPr>
      </w:pPr>
      <w:r>
        <w:rPr>
          <w:rFonts w:eastAsia="方正小标宋_GBK"/>
          <w:kern w:val="0"/>
          <w:sz w:val="36"/>
          <w:szCs w:val="36"/>
        </w:rPr>
        <w:t>部门整体支出绩效评价基础数据表</w:t>
      </w:r>
    </w:p>
    <w:p>
      <w:pPr>
        <w:widowControl/>
        <w:spacing w:line="560" w:lineRule="exact"/>
        <w:jc w:val="right"/>
        <w:rPr>
          <w:rFonts w:eastAsia="方正小标宋_GBK"/>
          <w:kern w:val="0"/>
          <w:szCs w:val="21"/>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30</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30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0.98</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0.98</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hint="eastAsia"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0"/>
            <w:vAlign w:val="center"/>
          </w:tcPr>
          <w:p>
            <w:pPr>
              <w:widowControl/>
              <w:jc w:val="center"/>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2284.76</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2697.28</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2694.11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30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36</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hint="eastAsia" w:eastAsia="仿宋_GB2312"/>
                <w:color w:val="FF0000"/>
                <w:kern w:val="0"/>
                <w:szCs w:val="21"/>
              </w:rPr>
            </w:pPr>
            <w:r>
              <w:rPr>
                <w:rFonts w:hint="eastAsia" w:eastAsia="仿宋_GB2312"/>
                <w:kern w:val="0"/>
                <w:szCs w:val="21"/>
              </w:rPr>
              <w:t>1、绿色江永建设90.62万元；2、松材线虫病除治133.59万元。</w:t>
            </w:r>
          </w:p>
        </w:tc>
        <w:tc>
          <w:tcPr>
            <w:tcW w:w="2240" w:type="dxa"/>
            <w:gridSpan w:val="2"/>
            <w:noWrap w:val="0"/>
            <w:vAlign w:val="center"/>
          </w:tcPr>
          <w:p>
            <w:pPr>
              <w:widowControl/>
              <w:jc w:val="center"/>
              <w:rPr>
                <w:rFonts w:hint="eastAsia" w:eastAsia="仿宋_GB2312"/>
                <w:kern w:val="0"/>
                <w:szCs w:val="21"/>
              </w:rPr>
            </w:pPr>
            <w:r>
              <w:rPr>
                <w:rFonts w:hint="eastAsia" w:eastAsia="仿宋_GB2312"/>
                <w:kern w:val="0"/>
                <w:szCs w:val="21"/>
              </w:rPr>
              <w:t>1、县级公益林补助34万元；2、绿色江永建设100万元；3、创森、松材线虫病除治133.59万元。</w:t>
            </w:r>
          </w:p>
        </w:tc>
        <w:tc>
          <w:tcPr>
            <w:tcW w:w="1832" w:type="dxa"/>
            <w:gridSpan w:val="2"/>
            <w:noWrap w:val="0"/>
            <w:vAlign w:val="center"/>
          </w:tcPr>
          <w:p>
            <w:pPr>
              <w:widowControl/>
              <w:jc w:val="center"/>
              <w:rPr>
                <w:rFonts w:hint="eastAsia" w:eastAsia="仿宋_GB2312"/>
                <w:kern w:val="0"/>
                <w:szCs w:val="21"/>
              </w:rPr>
            </w:pPr>
            <w:r>
              <w:rPr>
                <w:rFonts w:hint="eastAsia" w:eastAsia="仿宋_GB2312"/>
                <w:kern w:val="0"/>
                <w:szCs w:val="21"/>
              </w:rPr>
              <w:t>1、县级公益林补助34万元；2绿色江永建设103.82万元；3、松材线虫病除治133.59万元。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4、其他资金</w:t>
            </w:r>
            <w:r>
              <w:rPr>
                <w:rFonts w:hint="eastAsia" w:eastAsia="仿宋_GB2312"/>
                <w:kern w:val="0"/>
                <w:szCs w:val="21"/>
              </w:rPr>
              <w:t>（上级项目资金）</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1、生态护林员355万元；2、公益林补助992.94万元；3、天然商品林管护补助254.61万元；4、造林、抚育补助338；5有害生物防治50万元；6、野生动植物调查40万元。</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1、生态护林员355万元；2、生态保护补偿882.69万元；3、造林（含油茶）、森林质量提升补助637万元；4、有害生物防治80万元；5、湘江源综合治理439万元。　　</w:t>
            </w:r>
            <w:r>
              <w:rPr>
                <w:rFonts w:eastAsia="仿宋_GB2312"/>
                <w:kern w:val="0"/>
                <w:szCs w:val="21"/>
              </w:rPr>
              <w:t>　</w:t>
            </w:r>
          </w:p>
        </w:tc>
        <w:tc>
          <w:tcPr>
            <w:tcW w:w="1832" w:type="dxa"/>
            <w:gridSpan w:val="2"/>
            <w:noWrap w:val="0"/>
            <w:vAlign w:val="center"/>
          </w:tcPr>
          <w:p>
            <w:pPr>
              <w:widowControl/>
              <w:jc w:val="center"/>
              <w:rPr>
                <w:rFonts w:hint="eastAsia" w:eastAsia="仿宋_GB2312"/>
                <w:kern w:val="0"/>
                <w:szCs w:val="21"/>
              </w:rPr>
            </w:pPr>
            <w:r>
              <w:rPr>
                <w:rFonts w:hint="eastAsia" w:eastAsia="仿宋_GB2312"/>
                <w:kern w:val="0"/>
                <w:szCs w:val="21"/>
              </w:rPr>
              <w:t>1、生态护林员355万元；2、生态保护补偿882.69万元；3、造林（含油茶）、森林质量提升补助637万元；4、有害生物防治80万元。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30.72</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32.4</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37.27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15.72</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20.4</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hint="eastAsia" w:eastAsia="仿宋_GB2312"/>
                <w:kern w:val="0"/>
                <w:szCs w:val="21"/>
              </w:rPr>
            </w:pPr>
            <w:r>
              <w:rPr>
                <w:rFonts w:hint="eastAsia" w:eastAsia="仿宋_GB2312"/>
                <w:kern w:val="0"/>
                <w:szCs w:val="21"/>
              </w:rPr>
              <w:t>7.72</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2</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hint="eastAsia" w:eastAsia="仿宋_GB2312"/>
                <w:kern w:val="0"/>
                <w:szCs w:val="21"/>
              </w:rPr>
            </w:pPr>
            <w:r>
              <w:rPr>
                <w:rFonts w:eastAsia="仿宋_GB2312"/>
                <w:kern w:val="0"/>
                <w:szCs w:val="21"/>
              </w:rPr>
              <w:t>　</w:t>
            </w:r>
            <w:r>
              <w:rPr>
                <w:rFonts w:hint="eastAsia" w:eastAsia="仿宋_GB2312"/>
                <w:kern w:val="0"/>
                <w:szCs w:val="21"/>
              </w:rPr>
              <w:t>239.59</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234.68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rPr>
              <w:t>21</w:t>
            </w:r>
            <w:r>
              <w:rPr>
                <w:rFonts w:eastAsia="仿宋_GB2312"/>
                <w:kern w:val="0"/>
                <w:szCs w:val="21"/>
              </w:rPr>
              <w:t>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112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c>
          <w:tcPr>
            <w:tcW w:w="1111"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96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863"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pPr>
        <w:spacing w:line="560" w:lineRule="exact"/>
        <w:jc w:val="center"/>
        <w:rPr>
          <w:rFonts w:eastAsia="方正小标宋_GBK"/>
          <w:color w:val="000000"/>
          <w:kern w:val="0"/>
          <w:sz w:val="36"/>
          <w:szCs w:val="36"/>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sz w:val="30"/>
          <w:szCs w:val="30"/>
        </w:rPr>
        <w:t xml:space="preserve"> </w:t>
      </w:r>
      <w:r>
        <w:rPr>
          <w:rFonts w:eastAsia="方正小标宋_GBK"/>
          <w:color w:val="000000"/>
          <w:kern w:val="0"/>
          <w:sz w:val="44"/>
          <w:szCs w:val="44"/>
        </w:rPr>
        <w:t>部门整体支出绩效自评表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376"/>
        <w:gridCol w:w="1223"/>
        <w:gridCol w:w="1103"/>
        <w:gridCol w:w="204"/>
        <w:gridCol w:w="1073"/>
        <w:gridCol w:w="1217"/>
        <w:gridCol w:w="703"/>
        <w:gridCol w:w="95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60" w:type="dxa"/>
            <w:gridSpan w:val="9"/>
            <w:noWrap w:val="0"/>
            <w:vAlign w:val="center"/>
          </w:tcPr>
          <w:p>
            <w:pPr>
              <w:widowControl/>
              <w:jc w:val="center"/>
              <w:rPr>
                <w:rFonts w:eastAsia="仿宋_GB2312"/>
                <w:color w:val="000000"/>
                <w:kern w:val="0"/>
                <w:szCs w:val="21"/>
              </w:rPr>
            </w:pPr>
            <w:r>
              <w:rPr>
                <w:rFonts w:hint="eastAsia" w:eastAsia="仿宋_GB2312"/>
                <w:color w:val="000000"/>
                <w:kern w:val="0"/>
                <w:szCs w:val="21"/>
              </w:rPr>
              <w:t>江永县林业局</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599" w:type="dxa"/>
            <w:gridSpan w:val="2"/>
            <w:noWrap w:val="0"/>
            <w:vAlign w:val="center"/>
          </w:tcPr>
          <w:p>
            <w:pPr>
              <w:jc w:val="center"/>
              <w:rPr>
                <w:rFonts w:eastAsia="仿宋_GB2312"/>
                <w:szCs w:val="21"/>
              </w:rPr>
            </w:pPr>
          </w:p>
        </w:tc>
        <w:tc>
          <w:tcPr>
            <w:tcW w:w="1103"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77" w:type="dxa"/>
            <w:gridSpan w:val="2"/>
            <w:noWrap w:val="0"/>
            <w:vAlign w:val="center"/>
          </w:tcPr>
          <w:p>
            <w:pPr>
              <w:jc w:val="center"/>
              <w:rPr>
                <w:rFonts w:eastAsia="仿宋_GB2312"/>
                <w:szCs w:val="21"/>
              </w:rPr>
            </w:pPr>
            <w:r>
              <w:rPr>
                <w:rFonts w:eastAsia="仿宋_GB2312"/>
                <w:szCs w:val="21"/>
              </w:rPr>
              <w:t>全年预算数</w:t>
            </w:r>
          </w:p>
        </w:tc>
        <w:tc>
          <w:tcPr>
            <w:tcW w:w="1217"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3" w:type="dxa"/>
            <w:noWrap w:val="0"/>
            <w:vAlign w:val="center"/>
          </w:tcPr>
          <w:p>
            <w:pPr>
              <w:jc w:val="center"/>
              <w:rPr>
                <w:rFonts w:eastAsia="仿宋_GB2312"/>
                <w:szCs w:val="21"/>
              </w:rPr>
            </w:pPr>
            <w:r>
              <w:rPr>
                <w:rFonts w:eastAsia="仿宋_GB2312"/>
                <w:szCs w:val="21"/>
              </w:rPr>
              <w:t>分值</w:t>
            </w:r>
          </w:p>
        </w:tc>
        <w:tc>
          <w:tcPr>
            <w:tcW w:w="951" w:type="dxa"/>
            <w:noWrap w:val="0"/>
            <w:vAlign w:val="center"/>
          </w:tcPr>
          <w:p>
            <w:pPr>
              <w:jc w:val="center"/>
              <w:rPr>
                <w:rFonts w:eastAsia="仿宋_GB2312"/>
                <w:szCs w:val="21"/>
              </w:rPr>
            </w:pPr>
            <w:r>
              <w:rPr>
                <w:rFonts w:eastAsia="仿宋_GB2312"/>
                <w:szCs w:val="21"/>
              </w:rPr>
              <w:t>执行率</w:t>
            </w:r>
          </w:p>
        </w:tc>
        <w:tc>
          <w:tcPr>
            <w:tcW w:w="1410"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center"/>
              <w:rPr>
                <w:rFonts w:eastAsia="仿宋_GB2312"/>
                <w:color w:val="000000"/>
                <w:kern w:val="0"/>
                <w:szCs w:val="21"/>
              </w:rPr>
            </w:pPr>
          </w:p>
        </w:tc>
        <w:tc>
          <w:tcPr>
            <w:tcW w:w="2599"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03" w:type="dxa"/>
            <w:noWrap w:val="0"/>
            <w:vAlign w:val="center"/>
          </w:tcPr>
          <w:p>
            <w:pPr>
              <w:jc w:val="center"/>
              <w:rPr>
                <w:rFonts w:eastAsia="仿宋_GB2312"/>
                <w:szCs w:val="21"/>
              </w:rPr>
            </w:pPr>
            <w:r>
              <w:rPr>
                <w:rFonts w:hint="eastAsia" w:eastAsia="仿宋_GB2312"/>
                <w:szCs w:val="21"/>
              </w:rPr>
              <w:t>3340.13</w:t>
            </w:r>
          </w:p>
        </w:tc>
        <w:tc>
          <w:tcPr>
            <w:tcW w:w="1277" w:type="dxa"/>
            <w:gridSpan w:val="2"/>
            <w:noWrap w:val="0"/>
            <w:vAlign w:val="center"/>
          </w:tcPr>
          <w:p>
            <w:pPr>
              <w:jc w:val="center"/>
              <w:rPr>
                <w:rFonts w:hint="eastAsia" w:eastAsia="仿宋_GB2312"/>
                <w:szCs w:val="21"/>
              </w:rPr>
            </w:pPr>
            <w:r>
              <w:rPr>
                <w:rFonts w:hint="eastAsia" w:eastAsia="仿宋_GB2312"/>
                <w:szCs w:val="21"/>
              </w:rPr>
              <w:t>3340.13</w:t>
            </w:r>
          </w:p>
        </w:tc>
        <w:tc>
          <w:tcPr>
            <w:tcW w:w="1217" w:type="dxa"/>
            <w:noWrap w:val="0"/>
            <w:vAlign w:val="center"/>
          </w:tcPr>
          <w:p>
            <w:pPr>
              <w:jc w:val="center"/>
              <w:rPr>
                <w:rFonts w:eastAsia="仿宋_GB2312"/>
                <w:szCs w:val="21"/>
              </w:rPr>
            </w:pPr>
            <w:r>
              <w:rPr>
                <w:rFonts w:hint="eastAsia" w:eastAsia="仿宋_GB2312"/>
                <w:szCs w:val="21"/>
              </w:rPr>
              <w:t>2904.95</w:t>
            </w:r>
          </w:p>
        </w:tc>
        <w:tc>
          <w:tcPr>
            <w:tcW w:w="703" w:type="dxa"/>
            <w:noWrap w:val="0"/>
            <w:vAlign w:val="center"/>
          </w:tcPr>
          <w:p>
            <w:pPr>
              <w:jc w:val="center"/>
              <w:rPr>
                <w:rFonts w:eastAsia="仿宋_GB2312"/>
                <w:szCs w:val="21"/>
              </w:rPr>
            </w:pPr>
            <w:r>
              <w:rPr>
                <w:rFonts w:hint="eastAsia" w:eastAsia="仿宋_GB2312"/>
                <w:szCs w:val="21"/>
              </w:rPr>
              <w:t>10</w:t>
            </w:r>
          </w:p>
        </w:tc>
        <w:tc>
          <w:tcPr>
            <w:tcW w:w="951" w:type="dxa"/>
            <w:noWrap w:val="0"/>
            <w:vAlign w:val="center"/>
          </w:tcPr>
          <w:p>
            <w:pPr>
              <w:jc w:val="center"/>
              <w:rPr>
                <w:rFonts w:hint="eastAsia" w:eastAsia="仿宋_GB2312"/>
                <w:szCs w:val="21"/>
              </w:rPr>
            </w:pPr>
            <w:r>
              <w:rPr>
                <w:rFonts w:hint="eastAsia" w:eastAsia="仿宋_GB2312"/>
                <w:szCs w:val="21"/>
              </w:rPr>
              <w:t>87%</w:t>
            </w:r>
          </w:p>
        </w:tc>
        <w:tc>
          <w:tcPr>
            <w:tcW w:w="1410" w:type="dxa"/>
            <w:noWrap w:val="0"/>
            <w:vAlign w:val="center"/>
          </w:tcPr>
          <w:p>
            <w:pPr>
              <w:jc w:val="center"/>
              <w:rPr>
                <w:rFonts w:hint="eastAsia" w:eastAsia="仿宋_GB2312"/>
                <w:szCs w:val="21"/>
              </w:rPr>
            </w:pPr>
            <w:r>
              <w:rPr>
                <w:rFonts w:hint="eastAsia" w:eastAsia="仿宋_GB2312"/>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281"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 xml:space="preserve">  其中：  一般公共预算：</w:t>
            </w:r>
            <w:r>
              <w:rPr>
                <w:rFonts w:hint="eastAsia" w:eastAsia="仿宋_GB2312"/>
                <w:color w:val="000000"/>
                <w:kern w:val="0"/>
                <w:szCs w:val="21"/>
              </w:rPr>
              <w:t>940.44</w:t>
            </w:r>
          </w:p>
        </w:tc>
        <w:tc>
          <w:tcPr>
            <w:tcW w:w="4281" w:type="dxa"/>
            <w:gridSpan w:val="4"/>
            <w:noWrap w:val="0"/>
            <w:vAlign w:val="center"/>
          </w:tcPr>
          <w:p>
            <w:pPr>
              <w:widowControl/>
              <w:jc w:val="left"/>
              <w:rPr>
                <w:rFonts w:eastAsia="仿宋_GB2312"/>
                <w:color w:val="000000"/>
                <w:kern w:val="0"/>
                <w:szCs w:val="21"/>
              </w:rPr>
            </w:pPr>
            <w:r>
              <w:rPr>
                <w:rFonts w:eastAsia="仿宋_GB2312"/>
                <w:color w:val="000000"/>
                <w:kern w:val="0"/>
                <w:szCs w:val="21"/>
              </w:rPr>
              <w:t>其中：基本支出</w:t>
            </w:r>
            <w:r>
              <w:rPr>
                <w:rFonts w:hint="eastAsia" w:eastAsia="仿宋_GB2312"/>
                <w:color w:val="000000"/>
                <w:kern w:val="0"/>
                <w:szCs w:val="21"/>
              </w:rPr>
              <w:t>：642.85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281" w:type="dxa"/>
            <w:gridSpan w:val="4"/>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项目支出：</w:t>
            </w:r>
            <w:r>
              <w:rPr>
                <w:rFonts w:hint="eastAsia" w:eastAsia="仿宋_GB2312"/>
                <w:color w:val="000000"/>
                <w:kern w:val="0"/>
                <w:szCs w:val="21"/>
              </w:rPr>
              <w:t>301.41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hint="eastAsia" w:eastAsia="仿宋_GB2312"/>
                <w:color w:val="000000"/>
                <w:kern w:val="0"/>
                <w:szCs w:val="21"/>
              </w:rPr>
            </w:pPr>
            <w:r>
              <w:rPr>
                <w:rFonts w:eastAsia="仿宋_GB2312"/>
                <w:color w:val="000000"/>
                <w:kern w:val="0"/>
                <w:szCs w:val="21"/>
              </w:rPr>
              <w:t>纳入专户管理的非税收入拨款：</w:t>
            </w:r>
            <w:r>
              <w:rPr>
                <w:rFonts w:hint="eastAsia" w:eastAsia="仿宋_GB2312"/>
                <w:color w:val="000000"/>
                <w:kern w:val="0"/>
                <w:szCs w:val="21"/>
              </w:rPr>
              <w:t>6</w:t>
            </w:r>
          </w:p>
        </w:tc>
        <w:tc>
          <w:tcPr>
            <w:tcW w:w="4281" w:type="dxa"/>
            <w:gridSpan w:val="4"/>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其他资金</w:t>
            </w:r>
            <w:r>
              <w:rPr>
                <w:rFonts w:hint="eastAsia" w:eastAsia="仿宋_GB2312"/>
                <w:color w:val="000000"/>
                <w:kern w:val="0"/>
                <w:szCs w:val="21"/>
              </w:rPr>
              <w:t>（上级项目资金）</w:t>
            </w:r>
            <w:r>
              <w:rPr>
                <w:rFonts w:eastAsia="仿宋_GB2312"/>
                <w:color w:val="000000"/>
                <w:kern w:val="0"/>
                <w:szCs w:val="21"/>
              </w:rPr>
              <w:t>：</w:t>
            </w:r>
            <w:r>
              <w:rPr>
                <w:rFonts w:hint="eastAsia" w:eastAsia="仿宋_GB2312"/>
                <w:color w:val="000000"/>
                <w:kern w:val="0"/>
                <w:szCs w:val="21"/>
              </w:rPr>
              <w:t>2393.69</w:t>
            </w:r>
          </w:p>
        </w:tc>
        <w:tc>
          <w:tcPr>
            <w:tcW w:w="4281" w:type="dxa"/>
            <w:gridSpan w:val="4"/>
            <w:noWrap w:val="0"/>
            <w:vAlign w:val="center"/>
          </w:tcPr>
          <w:p>
            <w:pPr>
              <w:widowControl/>
              <w:jc w:val="left"/>
              <w:rPr>
                <w:rFonts w:eastAsia="仿宋_GB2312"/>
                <w:color w:val="000000"/>
                <w:kern w:val="0"/>
                <w:szCs w:val="21"/>
              </w:rPr>
            </w:pPr>
            <w:r>
              <w:rPr>
                <w:rFonts w:hint="eastAsia" w:eastAsia="仿宋_GB2312"/>
                <w:color w:val="000000"/>
                <w:kern w:val="0"/>
                <w:szCs w:val="21"/>
              </w:rPr>
              <w:t>1954.69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jc w:val="center"/>
              <w:rPr>
                <w:rFonts w:eastAsia="仿宋_GB2312"/>
                <w:kern w:val="0"/>
                <w:szCs w:val="21"/>
              </w:rPr>
            </w:pPr>
            <w:r>
              <w:rPr>
                <w:rFonts w:eastAsia="仿宋_GB2312"/>
                <w:kern w:val="0"/>
                <w:szCs w:val="21"/>
              </w:rPr>
              <w:t>年度总体目标</w:t>
            </w:r>
          </w:p>
        </w:tc>
        <w:tc>
          <w:tcPr>
            <w:tcW w:w="4979" w:type="dxa"/>
            <w:gridSpan w:val="5"/>
            <w:noWrap w:val="0"/>
            <w:vAlign w:val="center"/>
          </w:tcPr>
          <w:p>
            <w:pPr>
              <w:widowControl/>
              <w:jc w:val="center"/>
              <w:rPr>
                <w:rFonts w:eastAsia="仿宋_GB2312"/>
                <w:kern w:val="0"/>
                <w:szCs w:val="21"/>
              </w:rPr>
            </w:pPr>
            <w:r>
              <w:rPr>
                <w:rFonts w:eastAsia="仿宋_GB2312"/>
                <w:kern w:val="0"/>
                <w:szCs w:val="21"/>
              </w:rPr>
              <w:t>预期目标</w:t>
            </w:r>
          </w:p>
        </w:tc>
        <w:tc>
          <w:tcPr>
            <w:tcW w:w="4281" w:type="dxa"/>
            <w:gridSpan w:val="4"/>
            <w:noWrap w:val="0"/>
            <w:vAlign w:val="center"/>
          </w:tcPr>
          <w:p>
            <w:pPr>
              <w:widowControl/>
              <w:jc w:val="center"/>
              <w:rPr>
                <w:rFonts w:eastAsia="仿宋_GB2312"/>
                <w:kern w:val="0"/>
                <w:szCs w:val="21"/>
              </w:rPr>
            </w:pPr>
            <w:r>
              <w:rPr>
                <w:rFonts w:eastAsia="仿宋_GB2312"/>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3" w:type="dxa"/>
            <w:vMerge w:val="continue"/>
            <w:noWrap w:val="0"/>
            <w:vAlign w:val="center"/>
          </w:tcPr>
          <w:p>
            <w:pPr>
              <w:widowControl/>
              <w:jc w:val="left"/>
              <w:rPr>
                <w:rFonts w:eastAsia="仿宋_GB2312"/>
                <w:kern w:val="0"/>
                <w:szCs w:val="21"/>
              </w:rPr>
            </w:pPr>
          </w:p>
        </w:tc>
        <w:tc>
          <w:tcPr>
            <w:tcW w:w="4979" w:type="dxa"/>
            <w:gridSpan w:val="5"/>
            <w:noWrap w:val="0"/>
            <w:vAlign w:val="center"/>
          </w:tcPr>
          <w:p>
            <w:pPr>
              <w:widowControl/>
              <w:rPr>
                <w:rFonts w:eastAsia="仿宋_GB2312"/>
                <w:kern w:val="0"/>
                <w:szCs w:val="21"/>
              </w:rPr>
            </w:pPr>
            <w:r>
              <w:rPr>
                <w:rFonts w:eastAsia="仿宋_GB2312"/>
                <w:kern w:val="0"/>
                <w:szCs w:val="21"/>
              </w:rPr>
              <w:t>　</w:t>
            </w:r>
            <w:r>
              <w:rPr>
                <w:rFonts w:hint="eastAsia" w:eastAsia="仿宋_GB2312"/>
                <w:kern w:val="0"/>
                <w:szCs w:val="21"/>
              </w:rPr>
              <w:t>按照国家政策法规规定和本单位实际情况，建立健全财务基础管理制度和约束机制，依法、有效地使用财政资金，提高财政资金使用效率，在完成单位职能目标中合理分配人、财、物，使之达到较高的工作效率和水平。</w:t>
            </w:r>
            <w:r>
              <w:rPr>
                <w:rFonts w:eastAsia="仿宋_GB2312"/>
                <w:kern w:val="0"/>
                <w:szCs w:val="21"/>
              </w:rPr>
              <w:t>　</w:t>
            </w:r>
          </w:p>
        </w:tc>
        <w:tc>
          <w:tcPr>
            <w:tcW w:w="4281" w:type="dxa"/>
            <w:gridSpan w:val="4"/>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76"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2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07"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73"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217"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951"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0"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hint="eastAsia" w:eastAsia="仿宋_GB2312"/>
                <w:color w:val="000000"/>
                <w:kern w:val="0"/>
                <w:szCs w:val="21"/>
              </w:rPr>
              <w:t>（</w:t>
            </w:r>
            <w:r>
              <w:rPr>
                <w:rFonts w:eastAsia="仿宋_GB2312"/>
                <w:color w:val="000000"/>
                <w:kern w:val="0"/>
                <w:szCs w:val="21"/>
              </w:rPr>
              <w:t>50分</w:t>
            </w:r>
            <w:r>
              <w:rPr>
                <w:rFonts w:hint="eastAsia" w:eastAsia="仿宋_GB2312"/>
                <w:color w:val="000000"/>
                <w:kern w:val="0"/>
                <w:szCs w:val="21"/>
              </w:rPr>
              <w:t>）</w:t>
            </w: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森林覆盖率</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≥70%</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70.11%</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造林面积</w:t>
            </w:r>
          </w:p>
        </w:tc>
        <w:tc>
          <w:tcPr>
            <w:tcW w:w="1073"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7800亩</w:t>
            </w:r>
          </w:p>
        </w:tc>
        <w:tc>
          <w:tcPr>
            <w:tcW w:w="1217"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9100亩</w:t>
            </w:r>
          </w:p>
        </w:tc>
        <w:tc>
          <w:tcPr>
            <w:tcW w:w="703"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5</w:t>
            </w:r>
          </w:p>
        </w:tc>
        <w:tc>
          <w:tcPr>
            <w:tcW w:w="951" w:type="dxa"/>
            <w:noWrap w:val="0"/>
            <w:vAlign w:val="center"/>
          </w:tcPr>
          <w:p>
            <w:pPr>
              <w:widowControl/>
              <w:jc w:val="left"/>
              <w:rPr>
                <w:rFonts w:eastAsia="仿宋_GB2312"/>
                <w:kern w:val="0"/>
                <w:sz w:val="15"/>
                <w:szCs w:val="15"/>
              </w:rPr>
            </w:pPr>
            <w:r>
              <w:rPr>
                <w:rFonts w:eastAsia="仿宋_GB2312"/>
                <w:kern w:val="0"/>
                <w:sz w:val="15"/>
                <w:szCs w:val="15"/>
              </w:rPr>
              <w:t>　</w:t>
            </w:r>
            <w:r>
              <w:rPr>
                <w:rFonts w:hint="eastAsia" w:eastAsia="仿宋_GB2312"/>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森林质量提升面积</w:t>
            </w:r>
          </w:p>
        </w:tc>
        <w:tc>
          <w:tcPr>
            <w:tcW w:w="1073" w:type="dxa"/>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11200亩</w:t>
            </w:r>
          </w:p>
        </w:tc>
        <w:tc>
          <w:tcPr>
            <w:tcW w:w="1217" w:type="dxa"/>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11200亩</w:t>
            </w:r>
          </w:p>
        </w:tc>
        <w:tc>
          <w:tcPr>
            <w:tcW w:w="703" w:type="dxa"/>
            <w:noWrap w:val="0"/>
            <w:vAlign w:val="center"/>
          </w:tcPr>
          <w:p>
            <w:pPr>
              <w:ind w:firstLine="150" w:firstLineChars="100"/>
              <w:jc w:val="left"/>
              <w:rPr>
                <w:rFonts w:hint="eastAsia" w:eastAsia="仿宋_GB2312"/>
                <w:color w:val="000000"/>
                <w:kern w:val="0"/>
                <w:sz w:val="15"/>
                <w:szCs w:val="15"/>
              </w:rPr>
            </w:pPr>
            <w:r>
              <w:rPr>
                <w:rFonts w:hint="eastAsia" w:eastAsia="仿宋_GB2312"/>
                <w:color w:val="000000"/>
                <w:kern w:val="0"/>
                <w:sz w:val="15"/>
                <w:szCs w:val="15"/>
              </w:rPr>
              <w:t>5</w:t>
            </w:r>
          </w:p>
        </w:tc>
        <w:tc>
          <w:tcPr>
            <w:tcW w:w="951" w:type="dxa"/>
            <w:noWrap w:val="0"/>
            <w:vAlign w:val="center"/>
          </w:tcPr>
          <w:p>
            <w:pPr>
              <w:ind w:firstLine="150" w:firstLineChars="100"/>
              <w:jc w:val="left"/>
              <w:rPr>
                <w:rFonts w:eastAsia="仿宋_GB2312"/>
                <w:color w:val="000000"/>
                <w:kern w:val="0"/>
                <w:sz w:val="15"/>
                <w:szCs w:val="15"/>
              </w:rPr>
            </w:pPr>
            <w:r>
              <w:rPr>
                <w:rFonts w:hint="eastAsia" w:eastAsia="仿宋_GB2312"/>
                <w:color w:val="000000"/>
                <w:kern w:val="0"/>
                <w:sz w:val="15"/>
                <w:szCs w:val="15"/>
              </w:rPr>
              <w:t>5</w:t>
            </w:r>
          </w:p>
        </w:tc>
        <w:tc>
          <w:tcPr>
            <w:tcW w:w="1410" w:type="dxa"/>
            <w:noWrap w:val="0"/>
            <w:vAlign w:val="center"/>
          </w:tcPr>
          <w:p>
            <w:pPr>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公益林管护面积</w:t>
            </w:r>
          </w:p>
        </w:tc>
        <w:tc>
          <w:tcPr>
            <w:tcW w:w="1073" w:type="dxa"/>
            <w:noWrap w:val="0"/>
            <w:vAlign w:val="center"/>
          </w:tcPr>
          <w:p>
            <w:pPr>
              <w:jc w:val="left"/>
              <w:rPr>
                <w:rFonts w:eastAsia="仿宋_GB2312"/>
                <w:color w:val="000000"/>
                <w:kern w:val="0"/>
                <w:sz w:val="15"/>
                <w:szCs w:val="15"/>
              </w:rPr>
            </w:pPr>
            <w:r>
              <w:rPr>
                <w:rFonts w:hint="eastAsia" w:eastAsia="仿宋_GB2312"/>
                <w:color w:val="000000"/>
                <w:kern w:val="0"/>
                <w:sz w:val="15"/>
                <w:szCs w:val="15"/>
              </w:rPr>
              <w:t>≥20.24万亩</w:t>
            </w:r>
          </w:p>
        </w:tc>
        <w:tc>
          <w:tcPr>
            <w:tcW w:w="1217" w:type="dxa"/>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20.24万亩</w:t>
            </w:r>
          </w:p>
        </w:tc>
        <w:tc>
          <w:tcPr>
            <w:tcW w:w="703" w:type="dxa"/>
            <w:noWrap w:val="0"/>
            <w:vAlign w:val="center"/>
          </w:tcPr>
          <w:p>
            <w:pPr>
              <w:ind w:firstLine="150" w:firstLineChars="100"/>
              <w:jc w:val="left"/>
              <w:rPr>
                <w:rFonts w:hint="eastAsia" w:eastAsia="仿宋_GB2312"/>
                <w:color w:val="000000"/>
                <w:kern w:val="0"/>
                <w:sz w:val="15"/>
                <w:szCs w:val="15"/>
              </w:rPr>
            </w:pPr>
            <w:r>
              <w:rPr>
                <w:rFonts w:hint="eastAsia" w:eastAsia="仿宋_GB2312"/>
                <w:color w:val="000000"/>
                <w:kern w:val="0"/>
                <w:sz w:val="15"/>
                <w:szCs w:val="15"/>
              </w:rPr>
              <w:t>5</w:t>
            </w:r>
          </w:p>
        </w:tc>
        <w:tc>
          <w:tcPr>
            <w:tcW w:w="951" w:type="dxa"/>
            <w:noWrap w:val="0"/>
            <w:vAlign w:val="center"/>
          </w:tcPr>
          <w:p>
            <w:pPr>
              <w:ind w:firstLine="150" w:firstLineChars="100"/>
              <w:jc w:val="left"/>
              <w:rPr>
                <w:rFonts w:eastAsia="仿宋_GB2312"/>
                <w:color w:val="000000"/>
                <w:kern w:val="0"/>
                <w:sz w:val="15"/>
                <w:szCs w:val="15"/>
              </w:rPr>
            </w:pPr>
            <w:r>
              <w:rPr>
                <w:rFonts w:hint="eastAsia" w:eastAsia="仿宋_GB2312"/>
                <w:color w:val="000000"/>
                <w:kern w:val="0"/>
                <w:sz w:val="15"/>
                <w:szCs w:val="15"/>
              </w:rPr>
              <w:t>5</w:t>
            </w:r>
          </w:p>
        </w:tc>
        <w:tc>
          <w:tcPr>
            <w:tcW w:w="1410" w:type="dxa"/>
            <w:noWrap w:val="0"/>
            <w:vAlign w:val="center"/>
          </w:tcPr>
          <w:p>
            <w:pPr>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造林成活率</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≥85%</w:t>
            </w:r>
            <w:r>
              <w:rPr>
                <w:rFonts w:eastAsia="仿宋_GB2312"/>
                <w:color w:val="000000"/>
                <w:kern w:val="0"/>
                <w:sz w:val="15"/>
                <w:szCs w:val="15"/>
              </w:rPr>
              <w:t>　</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≥85%</w:t>
            </w:r>
            <w:r>
              <w:rPr>
                <w:rFonts w:eastAsia="仿宋_GB2312"/>
                <w:color w:val="000000"/>
                <w:kern w:val="0"/>
                <w:sz w:val="15"/>
                <w:szCs w:val="15"/>
              </w:rPr>
              <w:t>　</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森林资源保护率</w:t>
            </w:r>
          </w:p>
        </w:tc>
        <w:tc>
          <w:tcPr>
            <w:tcW w:w="1073" w:type="dxa"/>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≥95%</w:t>
            </w:r>
          </w:p>
        </w:tc>
        <w:tc>
          <w:tcPr>
            <w:tcW w:w="1217" w:type="dxa"/>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≥95%</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林业有害生物成灾率</w:t>
            </w:r>
          </w:p>
        </w:tc>
        <w:tc>
          <w:tcPr>
            <w:tcW w:w="1073" w:type="dxa"/>
            <w:noWrap w:val="0"/>
            <w:vAlign w:val="center"/>
          </w:tcPr>
          <w:p>
            <w:pPr>
              <w:jc w:val="left"/>
              <w:rPr>
                <w:rFonts w:eastAsia="仿宋_GB2312"/>
                <w:color w:val="000000"/>
                <w:kern w:val="0"/>
                <w:sz w:val="15"/>
                <w:szCs w:val="15"/>
              </w:rPr>
            </w:pPr>
            <w:r>
              <w:rPr>
                <w:rFonts w:hint="eastAsia" w:eastAsia="仿宋_GB2312"/>
                <w:color w:val="000000"/>
                <w:kern w:val="0"/>
                <w:sz w:val="15"/>
                <w:szCs w:val="15"/>
              </w:rPr>
              <w:t>≤0.3%</w:t>
            </w:r>
          </w:p>
        </w:tc>
        <w:tc>
          <w:tcPr>
            <w:tcW w:w="1217" w:type="dxa"/>
            <w:noWrap w:val="0"/>
            <w:vAlign w:val="center"/>
          </w:tcPr>
          <w:p>
            <w:pPr>
              <w:jc w:val="left"/>
              <w:rPr>
                <w:rFonts w:eastAsia="仿宋_GB2312"/>
                <w:color w:val="000000"/>
                <w:kern w:val="0"/>
                <w:sz w:val="15"/>
                <w:szCs w:val="15"/>
              </w:rPr>
            </w:pPr>
            <w:r>
              <w:rPr>
                <w:rFonts w:hint="eastAsia" w:eastAsia="仿宋_GB2312"/>
                <w:color w:val="000000"/>
                <w:kern w:val="0"/>
                <w:sz w:val="15"/>
                <w:szCs w:val="15"/>
              </w:rPr>
              <w:t>≤0.3%</w:t>
            </w:r>
          </w:p>
        </w:tc>
        <w:tc>
          <w:tcPr>
            <w:tcW w:w="703" w:type="dxa"/>
            <w:noWrap w:val="0"/>
            <w:vAlign w:val="center"/>
          </w:tcPr>
          <w:p>
            <w:pPr>
              <w:ind w:firstLine="150" w:firstLineChars="100"/>
              <w:jc w:val="left"/>
              <w:rPr>
                <w:rFonts w:hint="eastAsia" w:eastAsia="仿宋_GB2312"/>
                <w:color w:val="000000"/>
                <w:kern w:val="0"/>
                <w:sz w:val="15"/>
                <w:szCs w:val="15"/>
              </w:rPr>
            </w:pPr>
            <w:r>
              <w:rPr>
                <w:rFonts w:hint="eastAsia" w:eastAsia="仿宋_GB2312"/>
                <w:color w:val="000000"/>
                <w:kern w:val="0"/>
                <w:sz w:val="15"/>
                <w:szCs w:val="15"/>
              </w:rPr>
              <w:t>4</w:t>
            </w:r>
          </w:p>
        </w:tc>
        <w:tc>
          <w:tcPr>
            <w:tcW w:w="951" w:type="dxa"/>
            <w:noWrap w:val="0"/>
            <w:vAlign w:val="center"/>
          </w:tcPr>
          <w:p>
            <w:pPr>
              <w:ind w:firstLine="150" w:firstLineChars="100"/>
              <w:jc w:val="left"/>
              <w:rPr>
                <w:rFonts w:eastAsia="仿宋_GB2312"/>
                <w:color w:val="000000"/>
                <w:kern w:val="0"/>
                <w:sz w:val="15"/>
                <w:szCs w:val="15"/>
              </w:rPr>
            </w:pPr>
            <w:r>
              <w:rPr>
                <w:rFonts w:hint="eastAsia" w:eastAsia="仿宋_GB2312"/>
                <w:color w:val="000000"/>
                <w:kern w:val="0"/>
                <w:sz w:val="15"/>
                <w:szCs w:val="15"/>
              </w:rPr>
              <w:t>4</w:t>
            </w:r>
          </w:p>
        </w:tc>
        <w:tc>
          <w:tcPr>
            <w:tcW w:w="1410" w:type="dxa"/>
            <w:noWrap w:val="0"/>
            <w:vAlign w:val="center"/>
          </w:tcPr>
          <w:p>
            <w:pPr>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资金拨付及时率</w:t>
            </w:r>
          </w:p>
        </w:tc>
        <w:tc>
          <w:tcPr>
            <w:tcW w:w="107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90%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4</w:t>
            </w:r>
          </w:p>
        </w:tc>
        <w:tc>
          <w:tcPr>
            <w:tcW w:w="1410"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县财政资金困难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工作完成及时率</w:t>
            </w:r>
          </w:p>
        </w:tc>
        <w:tc>
          <w:tcPr>
            <w:tcW w:w="107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基本支出</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642.85</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642.85</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项目支出</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2697.28</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22262.1</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4</w:t>
            </w:r>
          </w:p>
        </w:tc>
        <w:tc>
          <w:tcPr>
            <w:tcW w:w="1410"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上级项目资金2393.69万元，其中：湘江源综合治理项目资金未支出。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4</w:t>
            </w:r>
            <w:r>
              <w:rPr>
                <w:rFonts w:eastAsia="仿宋_GB2312"/>
                <w:color w:val="000000"/>
                <w:kern w:val="0"/>
                <w:szCs w:val="21"/>
              </w:rPr>
              <w:t>0分）　</w:t>
            </w: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带动增加林农收入</w:t>
            </w:r>
          </w:p>
        </w:tc>
        <w:tc>
          <w:tcPr>
            <w:tcW w:w="1073" w:type="dxa"/>
            <w:noWrap w:val="0"/>
            <w:vAlign w:val="center"/>
          </w:tcPr>
          <w:p>
            <w:pPr>
              <w:widowControl/>
              <w:jc w:val="left"/>
              <w:rPr>
                <w:rFonts w:hint="eastAsia" w:eastAsia="仿宋_GB2312"/>
                <w:kern w:val="0"/>
                <w:sz w:val="15"/>
                <w:szCs w:val="15"/>
              </w:rPr>
            </w:pPr>
            <w:r>
              <w:rPr>
                <w:rFonts w:hint="eastAsia" w:eastAsia="仿宋_GB2312"/>
                <w:kern w:val="0"/>
                <w:sz w:val="15"/>
                <w:szCs w:val="15"/>
              </w:rPr>
              <w:t>≥3000万元</w:t>
            </w:r>
          </w:p>
        </w:tc>
        <w:tc>
          <w:tcPr>
            <w:tcW w:w="1217" w:type="dxa"/>
            <w:noWrap w:val="0"/>
            <w:vAlign w:val="center"/>
          </w:tcPr>
          <w:p>
            <w:pPr>
              <w:widowControl/>
              <w:jc w:val="left"/>
              <w:rPr>
                <w:rFonts w:eastAsia="仿宋_GB2312"/>
                <w:kern w:val="0"/>
                <w:sz w:val="15"/>
                <w:szCs w:val="15"/>
              </w:rPr>
            </w:pPr>
            <w:r>
              <w:rPr>
                <w:rFonts w:eastAsia="仿宋_GB2312"/>
                <w:kern w:val="0"/>
                <w:sz w:val="15"/>
                <w:szCs w:val="15"/>
              </w:rPr>
              <w:t>　</w:t>
            </w:r>
            <w:r>
              <w:rPr>
                <w:rFonts w:hint="eastAsia" w:eastAsia="仿宋_GB2312"/>
                <w:kern w:val="0"/>
                <w:sz w:val="15"/>
                <w:szCs w:val="15"/>
              </w:rPr>
              <w:t>≥3000万元</w:t>
            </w:r>
          </w:p>
        </w:tc>
        <w:tc>
          <w:tcPr>
            <w:tcW w:w="703" w:type="dxa"/>
            <w:noWrap w:val="0"/>
            <w:vAlign w:val="center"/>
          </w:tcPr>
          <w:p>
            <w:pPr>
              <w:widowControl/>
              <w:ind w:firstLine="150" w:firstLineChars="100"/>
              <w:jc w:val="left"/>
              <w:rPr>
                <w:rFonts w:hint="eastAsia" w:eastAsia="仿宋_GB2312"/>
                <w:kern w:val="0"/>
                <w:sz w:val="15"/>
                <w:szCs w:val="15"/>
              </w:rPr>
            </w:pPr>
            <w:r>
              <w:rPr>
                <w:rFonts w:hint="eastAsia" w:eastAsia="仿宋_GB2312"/>
                <w:kern w:val="0"/>
                <w:sz w:val="15"/>
                <w:szCs w:val="15"/>
              </w:rPr>
              <w:t>5</w:t>
            </w:r>
          </w:p>
        </w:tc>
        <w:tc>
          <w:tcPr>
            <w:tcW w:w="951"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提升绿化水平和人民群众的幸福指数</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≥2%</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≥2%</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林区民生状况（是否改善）</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改善明显</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改善明显</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林业有害生物无公害防治率（%）</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≥80%</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森林、湿地生态系统效益发挥（是否明显）</w:t>
            </w:r>
          </w:p>
        </w:tc>
        <w:tc>
          <w:tcPr>
            <w:tcW w:w="1073" w:type="dxa"/>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明显</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明显</w:t>
            </w:r>
          </w:p>
        </w:tc>
        <w:tc>
          <w:tcPr>
            <w:tcW w:w="70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5</w:t>
            </w:r>
          </w:p>
        </w:tc>
        <w:tc>
          <w:tcPr>
            <w:tcW w:w="951"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退耕还林还草对水土流失改善情况</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显著</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显著</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center"/>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生态结构和生物景观功能改善情况</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有效改善</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有效改善</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left"/>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持续发挥生态作用</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显著</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显著</w:t>
            </w:r>
            <w:r>
              <w:rPr>
                <w:rFonts w:eastAsia="仿宋_GB2312"/>
                <w:color w:val="000000"/>
                <w:kern w:val="0"/>
                <w:sz w:val="15"/>
                <w:szCs w:val="15"/>
              </w:rPr>
              <w:t>　</w:t>
            </w:r>
          </w:p>
        </w:tc>
        <w:tc>
          <w:tcPr>
            <w:tcW w:w="70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jc w:val="left"/>
              <w:rPr>
                <w:rFonts w:eastAsia="仿宋_GB2312"/>
                <w:color w:val="000000"/>
                <w:kern w:val="0"/>
                <w:szCs w:val="21"/>
              </w:rPr>
            </w:pPr>
          </w:p>
        </w:tc>
        <w:tc>
          <w:tcPr>
            <w:tcW w:w="13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项目参与人员满意度</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≥90%</w:t>
            </w:r>
            <w:r>
              <w:rPr>
                <w:rFonts w:eastAsia="仿宋_GB2312"/>
                <w:color w:val="000000"/>
                <w:kern w:val="0"/>
                <w:sz w:val="15"/>
                <w:szCs w:val="15"/>
              </w:rPr>
              <w:t>　</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≥90%</w:t>
            </w:r>
            <w:r>
              <w:rPr>
                <w:rFonts w:eastAsia="仿宋_GB2312"/>
                <w:color w:val="000000"/>
                <w:kern w:val="0"/>
                <w:sz w:val="15"/>
                <w:szCs w:val="15"/>
              </w:rPr>
              <w:t>　</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受益群众满意度</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≥90%</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≥90%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59"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3"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51"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98</w:t>
            </w:r>
          </w:p>
        </w:tc>
        <w:tc>
          <w:tcPr>
            <w:tcW w:w="141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pStyle w:val="2"/>
        <w:rPr>
          <w:rFonts w:hint="eastAsia"/>
          <w:lang w:val="en-US" w:eastAsia="zh-CN"/>
        </w:rPr>
      </w:pPr>
    </w:p>
    <w:p>
      <w:pPr>
        <w:pStyle w:val="2"/>
        <w:rPr>
          <w:rFonts w:hint="eastAsia"/>
          <w:sz w:val="28"/>
          <w:szCs w:val="28"/>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ESI楷体-GB2312">
    <w:altName w:val="宋体"/>
    <w:panose1 w:val="02000500000000000000"/>
    <w:charset w:val="86"/>
    <w:family w:val="auto"/>
    <w:pitch w:val="default"/>
    <w:sig w:usb0="00000000" w:usb1="00000000" w:usb2="00000012"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6CDC0"/>
    <w:multiLevelType w:val="singleLevel"/>
    <w:tmpl w:val="D706CDC0"/>
    <w:lvl w:ilvl="0" w:tentative="0">
      <w:start w:val="1"/>
      <w:numFmt w:val="chineseCounting"/>
      <w:suff w:val="nothing"/>
      <w:lvlText w:val="%1、"/>
      <w:lvlJc w:val="left"/>
      <w:rPr>
        <w:rFonts w:hint="eastAsia"/>
      </w:rPr>
    </w:lvl>
  </w:abstractNum>
  <w:abstractNum w:abstractNumId="1">
    <w:nsid w:val="40A70866"/>
    <w:multiLevelType w:val="singleLevel"/>
    <w:tmpl w:val="40A7086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18203BB1"/>
    <w:rsid w:val="0D791A47"/>
    <w:rsid w:val="18203BB1"/>
    <w:rsid w:val="436E21DE"/>
    <w:rsid w:val="5854400C"/>
    <w:rsid w:val="5FEA4FD9"/>
    <w:rsid w:val="63A8106F"/>
    <w:rsid w:val="662F60C7"/>
    <w:rsid w:val="670F0ED0"/>
    <w:rsid w:val="739C6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BodyText1I"/>
    <w:basedOn w:val="1"/>
    <w:qFormat/>
    <w:uiPriority w:val="99"/>
    <w:pPr>
      <w:snapToGrid w:val="0"/>
      <w:spacing w:line="360" w:lineRule="auto"/>
      <w:ind w:firstLine="420" w:firstLineChars="100"/>
    </w:pPr>
    <w:rPr>
      <w:sz w:val="28"/>
      <w:szCs w:val="20"/>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2024-03-15T03:32:00Z</dcterms:created>
  <dc:creator>CY</dc:creator>
  <cp:lastModifiedBy>Administrator</cp:lastModifiedBy>
  <dcterms:modified xsi:type="dcterms:W3CDTF">2025-06-23T09:24:09Z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EEC59D64FD5A4CF3AC4F0015BA4C250E_11</vt:lpwstr>
  </property>
</Properties>
</file>